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5D483" w14:textId="77777777" w:rsidR="00284FF5" w:rsidRPr="00D21073" w:rsidRDefault="00284FF5" w:rsidP="00284FF5">
      <w:pPr>
        <w:spacing w:after="0" w:line="240" w:lineRule="auto"/>
        <w:rPr>
          <w:rFonts w:cs="Arial"/>
        </w:rPr>
      </w:pPr>
      <w:r w:rsidRPr="00D21073">
        <w:rPr>
          <w:rFonts w:cs="Arial"/>
          <w:noProof/>
          <w:lang w:eastAsia="da-DK"/>
        </w:rPr>
        <w:drawing>
          <wp:anchor distT="0" distB="0" distL="114300" distR="114300" simplePos="0" relativeHeight="251659264" behindDoc="0" locked="0" layoutInCell="1" allowOverlap="1" wp14:anchorId="61B851F4" wp14:editId="772CEB1C">
            <wp:simplePos x="0" y="0"/>
            <wp:positionH relativeFrom="column">
              <wp:posOffset>4775835</wp:posOffset>
            </wp:positionH>
            <wp:positionV relativeFrom="paragraph">
              <wp:posOffset>-813435</wp:posOffset>
            </wp:positionV>
            <wp:extent cx="1752600" cy="1238250"/>
            <wp:effectExtent l="19050" t="0" r="0" b="0"/>
            <wp:wrapNone/>
            <wp:docPr id="2" name="Billede 2" descr="Dom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Domst1"/>
                    <pic:cNvPicPr>
                      <a:picLocks noChangeAspect="1" noChangeArrowheads="1"/>
                    </pic:cNvPicPr>
                  </pic:nvPicPr>
                  <pic:blipFill>
                    <a:blip r:embed="rId8" cstate="print"/>
                    <a:stretch>
                      <a:fillRect/>
                    </a:stretch>
                  </pic:blipFill>
                  <pic:spPr bwMode="auto">
                    <a:xfrm>
                      <a:off x="0" y="0"/>
                      <a:ext cx="1752600" cy="1238250"/>
                    </a:xfrm>
                    <a:prstGeom prst="rect">
                      <a:avLst/>
                    </a:prstGeom>
                    <a:noFill/>
                  </pic:spPr>
                </pic:pic>
              </a:graphicData>
            </a:graphic>
          </wp:anchor>
        </w:drawing>
      </w:r>
    </w:p>
    <w:sdt>
      <w:sdtPr>
        <w:rPr>
          <w:rFonts w:cs="Arial"/>
          <w:b/>
          <w:sz w:val="22"/>
        </w:rPr>
        <w:tag w:val="ToOrgUnit.Name"/>
        <w:id w:val="10005"/>
        <w:placeholder>
          <w:docPart w:val="A16C95969B98407F822AF93796952434"/>
        </w:placeholder>
        <w:dataBinding w:prefixMappings="xmlns:gbs='http://www.software-innovation.no/growBusinessDocument'" w:xpath="/gbs:GrowBusinessDocument/gbs:ToOrgUnit.Name[@gbs:key='10005']" w:storeItemID="{C41521CC-D1F3-41DB-8A3C-A7A0F6426CFB}"/>
        <w:text/>
      </w:sdtPr>
      <w:sdtEndPr/>
      <w:sdtContent>
        <w:p w14:paraId="1F369DA1" w14:textId="77777777" w:rsidR="00284FF5" w:rsidRPr="00D21073" w:rsidRDefault="00284FF5" w:rsidP="00284FF5">
          <w:pPr>
            <w:spacing w:after="0" w:line="240" w:lineRule="auto"/>
            <w:rPr>
              <w:rFonts w:cs="Arial"/>
              <w:b/>
              <w:sz w:val="24"/>
              <w:szCs w:val="24"/>
            </w:rPr>
          </w:pPr>
          <w:r w:rsidRPr="00E73C76">
            <w:rPr>
              <w:rFonts w:cs="Arial"/>
              <w:b/>
              <w:sz w:val="22"/>
            </w:rPr>
            <w:t>Direktionssekretariatet</w:t>
          </w:r>
        </w:p>
      </w:sdtContent>
    </w:sdt>
    <w:p w14:paraId="0D49DCAB" w14:textId="77777777" w:rsidR="00284FF5" w:rsidRPr="00D21073" w:rsidRDefault="00284FF5" w:rsidP="00284FF5">
      <w:pPr>
        <w:spacing w:after="0" w:line="240" w:lineRule="auto"/>
        <w:rPr>
          <w:rFonts w:cs="Arial"/>
        </w:rPr>
      </w:pPr>
    </w:p>
    <w:tbl>
      <w:tblPr>
        <w:tblStyle w:val="Tabel-Gitter"/>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gridCol w:w="992"/>
        <w:gridCol w:w="2410"/>
      </w:tblGrid>
      <w:tr w:rsidR="00284FF5" w:rsidRPr="00D21073" w14:paraId="5965B7DF" w14:textId="77777777" w:rsidTr="00F93DA0">
        <w:tc>
          <w:tcPr>
            <w:tcW w:w="6912" w:type="dxa"/>
          </w:tcPr>
          <w:p w14:paraId="65A341EB" w14:textId="77777777" w:rsidR="00284FF5" w:rsidRPr="00D21073" w:rsidRDefault="00284FF5" w:rsidP="00284FF5">
            <w:pPr>
              <w:spacing w:after="0"/>
              <w:rPr>
                <w:rFonts w:cs="Arial"/>
                <w:szCs w:val="20"/>
              </w:rPr>
            </w:pPr>
          </w:p>
        </w:tc>
        <w:tc>
          <w:tcPr>
            <w:tcW w:w="992" w:type="dxa"/>
          </w:tcPr>
          <w:p w14:paraId="4324BE3F" w14:textId="77777777" w:rsidR="00284FF5" w:rsidRPr="00D21073" w:rsidRDefault="00284FF5" w:rsidP="00284FF5">
            <w:pPr>
              <w:spacing w:after="0"/>
              <w:rPr>
                <w:rFonts w:cs="Arial"/>
                <w:sz w:val="16"/>
                <w:szCs w:val="16"/>
              </w:rPr>
            </w:pPr>
            <w:r w:rsidRPr="00D21073">
              <w:rPr>
                <w:rFonts w:cs="Arial"/>
                <w:sz w:val="16"/>
                <w:szCs w:val="16"/>
              </w:rPr>
              <w:t>Sagsbeh.:</w:t>
            </w:r>
          </w:p>
        </w:tc>
        <w:sdt>
          <w:sdtPr>
            <w:rPr>
              <w:rFonts w:cs="Arial"/>
              <w:sz w:val="16"/>
              <w:szCs w:val="16"/>
            </w:rPr>
            <w:tag w:val="OurRef.Name"/>
            <w:id w:val="10006"/>
            <w:placeholder>
              <w:docPart w:val="A16C95969B98407F822AF93796952434"/>
            </w:placeholder>
            <w:dataBinding w:prefixMappings="xmlns:gbs='http://www.software-innovation.no/growBusinessDocument'" w:xpath="/gbs:GrowBusinessDocument/gbs:OurRef.Name[@gbs:key='10006']" w:storeItemID="{C41521CC-D1F3-41DB-8A3C-A7A0F6426CFB}"/>
            <w:text/>
          </w:sdtPr>
          <w:sdtEndPr/>
          <w:sdtContent>
            <w:tc>
              <w:tcPr>
                <w:tcW w:w="2410" w:type="dxa"/>
              </w:tcPr>
              <w:p w14:paraId="73A3439C" w14:textId="77777777" w:rsidR="00284FF5" w:rsidRPr="00D21073" w:rsidRDefault="00284FF5" w:rsidP="00284FF5">
                <w:pPr>
                  <w:spacing w:after="0"/>
                  <w:rPr>
                    <w:rFonts w:cs="Arial"/>
                    <w:sz w:val="16"/>
                    <w:szCs w:val="16"/>
                  </w:rPr>
                </w:pPr>
                <w:r w:rsidRPr="00D21073">
                  <w:rPr>
                    <w:rFonts w:cs="Arial"/>
                    <w:sz w:val="16"/>
                    <w:szCs w:val="16"/>
                  </w:rPr>
                  <w:t>Emil Sølver Rehling</w:t>
                </w:r>
              </w:p>
            </w:tc>
          </w:sdtContent>
        </w:sdt>
      </w:tr>
      <w:tr w:rsidR="00284FF5" w:rsidRPr="00D21073" w14:paraId="405E7F1D" w14:textId="77777777" w:rsidTr="00F93DA0">
        <w:trPr>
          <w:trHeight w:val="137"/>
        </w:trPr>
        <w:tc>
          <w:tcPr>
            <w:tcW w:w="6912" w:type="dxa"/>
          </w:tcPr>
          <w:p w14:paraId="347086C0" w14:textId="77777777" w:rsidR="00284FF5" w:rsidRPr="00D21073" w:rsidRDefault="00284FF5" w:rsidP="00284FF5">
            <w:pPr>
              <w:spacing w:after="0"/>
              <w:rPr>
                <w:rFonts w:cs="Arial"/>
                <w:szCs w:val="20"/>
              </w:rPr>
            </w:pPr>
          </w:p>
        </w:tc>
        <w:tc>
          <w:tcPr>
            <w:tcW w:w="992" w:type="dxa"/>
          </w:tcPr>
          <w:p w14:paraId="5BEE401A" w14:textId="77777777" w:rsidR="00284FF5" w:rsidRPr="00D21073" w:rsidRDefault="00284FF5" w:rsidP="00284FF5">
            <w:pPr>
              <w:spacing w:after="0"/>
              <w:rPr>
                <w:rFonts w:cs="Arial"/>
                <w:sz w:val="16"/>
                <w:szCs w:val="16"/>
              </w:rPr>
            </w:pPr>
            <w:r w:rsidRPr="00D21073">
              <w:rPr>
                <w:rFonts w:cs="Arial"/>
                <w:sz w:val="16"/>
                <w:szCs w:val="16"/>
              </w:rPr>
              <w:t>E-mail:</w:t>
            </w:r>
          </w:p>
        </w:tc>
        <w:sdt>
          <w:sdtPr>
            <w:rPr>
              <w:rFonts w:cs="Arial"/>
              <w:sz w:val="16"/>
              <w:szCs w:val="16"/>
            </w:rPr>
            <w:tag w:val="OurRef.E-mail"/>
            <w:id w:val="10008"/>
            <w:placeholder>
              <w:docPart w:val="A16C95969B98407F822AF93796952434"/>
            </w:placeholder>
            <w:dataBinding w:prefixMappings="xmlns:gbs='http://www.software-innovation.no/growBusinessDocument'" w:xpath="/gbs:GrowBusinessDocument/gbs:OurRef.E-mail[@gbs:key='10008']" w:storeItemID="{C41521CC-D1F3-41DB-8A3C-A7A0F6426CFB}"/>
            <w:text/>
          </w:sdtPr>
          <w:sdtEndPr/>
          <w:sdtContent>
            <w:tc>
              <w:tcPr>
                <w:tcW w:w="2410" w:type="dxa"/>
              </w:tcPr>
              <w:p w14:paraId="5E1E02CE" w14:textId="77777777" w:rsidR="00284FF5" w:rsidRPr="00D21073" w:rsidRDefault="00284FF5" w:rsidP="00284FF5">
                <w:pPr>
                  <w:spacing w:after="0"/>
                  <w:rPr>
                    <w:rFonts w:cs="Arial"/>
                    <w:sz w:val="16"/>
                    <w:szCs w:val="16"/>
                  </w:rPr>
                </w:pPr>
                <w:r w:rsidRPr="00D21073">
                  <w:rPr>
                    <w:rFonts w:cs="Arial"/>
                    <w:sz w:val="16"/>
                    <w:szCs w:val="16"/>
                  </w:rPr>
                  <w:t>EMSR@domstolsstyrelsen.dk</w:t>
                </w:r>
              </w:p>
            </w:tc>
          </w:sdtContent>
        </w:sdt>
      </w:tr>
      <w:tr w:rsidR="00284FF5" w:rsidRPr="00D21073" w14:paraId="3794DDD1" w14:textId="77777777" w:rsidTr="00F93DA0">
        <w:tc>
          <w:tcPr>
            <w:tcW w:w="6912" w:type="dxa"/>
          </w:tcPr>
          <w:p w14:paraId="21E88DA3" w14:textId="77777777" w:rsidR="00284FF5" w:rsidRPr="00D21073" w:rsidRDefault="00284FF5" w:rsidP="00284FF5">
            <w:pPr>
              <w:spacing w:after="0"/>
              <w:rPr>
                <w:rFonts w:cs="Arial"/>
                <w:szCs w:val="20"/>
              </w:rPr>
            </w:pPr>
          </w:p>
        </w:tc>
        <w:tc>
          <w:tcPr>
            <w:tcW w:w="992" w:type="dxa"/>
          </w:tcPr>
          <w:p w14:paraId="718E64C7" w14:textId="77777777" w:rsidR="00284FF5" w:rsidRPr="00D21073" w:rsidRDefault="00284FF5" w:rsidP="00284FF5">
            <w:pPr>
              <w:spacing w:after="0"/>
              <w:rPr>
                <w:rFonts w:cs="Arial"/>
                <w:sz w:val="16"/>
                <w:szCs w:val="16"/>
              </w:rPr>
            </w:pPr>
            <w:r w:rsidRPr="00D21073">
              <w:rPr>
                <w:rFonts w:cs="Arial"/>
                <w:sz w:val="16"/>
                <w:szCs w:val="16"/>
              </w:rPr>
              <w:t>Dato:</w:t>
            </w:r>
          </w:p>
        </w:tc>
        <w:tc>
          <w:tcPr>
            <w:tcW w:w="2410" w:type="dxa"/>
          </w:tcPr>
          <w:p w14:paraId="7EBD19D4" w14:textId="504CE7A9" w:rsidR="00284FF5" w:rsidRPr="00D21073" w:rsidRDefault="009D522E" w:rsidP="00284FF5">
            <w:pPr>
              <w:spacing w:after="0"/>
              <w:rPr>
                <w:rFonts w:cs="Arial"/>
                <w:sz w:val="16"/>
                <w:szCs w:val="16"/>
              </w:rPr>
            </w:pPr>
            <w:sdt>
              <w:sdtPr>
                <w:rPr>
                  <w:rFonts w:cs="Arial"/>
                  <w:sz w:val="16"/>
                  <w:szCs w:val="16"/>
                </w:rPr>
                <w:tag w:val="DocumentDate"/>
                <w:id w:val="823939573"/>
                <w:placeholder>
                  <w:docPart w:val="F4246E3DC5344F68BB9161DCA9ED0644"/>
                </w:placeholder>
                <w:dataBinding w:prefixMappings="xmlns:gbs='http://www.software-innovation.no/growBusinessDocument'" w:xpath="/gbs:GrowBusinessDocument/gbs:DocumentDate[@gbs:key='10003']" w:storeItemID="{C41521CC-D1F3-41DB-8A3C-A7A0F6426CFB}"/>
                <w:date w:fullDate="2018-01-16T00:00:00Z">
                  <w:dateFormat w:val="d. MMMM yyyy"/>
                  <w:lid w:val="da-DK"/>
                  <w:storeMappedDataAs w:val="dateTime"/>
                  <w:calendar w:val="gregorian"/>
                </w:date>
              </w:sdtPr>
              <w:sdtEndPr/>
              <w:sdtContent>
                <w:r w:rsidR="00971882">
                  <w:rPr>
                    <w:rFonts w:cs="Arial"/>
                    <w:sz w:val="16"/>
                    <w:szCs w:val="16"/>
                  </w:rPr>
                  <w:t>16. januar 2018</w:t>
                </w:r>
              </w:sdtContent>
            </w:sdt>
          </w:p>
        </w:tc>
      </w:tr>
      <w:tr w:rsidR="00284FF5" w:rsidRPr="00D21073" w14:paraId="491BB068" w14:textId="77777777" w:rsidTr="00F93DA0">
        <w:tc>
          <w:tcPr>
            <w:tcW w:w="6912" w:type="dxa"/>
          </w:tcPr>
          <w:p w14:paraId="650E61E2" w14:textId="77777777" w:rsidR="00284FF5" w:rsidRPr="00D21073" w:rsidRDefault="00284FF5" w:rsidP="00284FF5">
            <w:pPr>
              <w:spacing w:after="0"/>
              <w:rPr>
                <w:rFonts w:cs="Arial"/>
                <w:szCs w:val="20"/>
              </w:rPr>
            </w:pPr>
          </w:p>
        </w:tc>
        <w:tc>
          <w:tcPr>
            <w:tcW w:w="992" w:type="dxa"/>
          </w:tcPr>
          <w:p w14:paraId="73CDF576" w14:textId="77777777" w:rsidR="00284FF5" w:rsidRPr="00D21073" w:rsidRDefault="00284FF5" w:rsidP="00284FF5">
            <w:pPr>
              <w:spacing w:after="0"/>
              <w:rPr>
                <w:rFonts w:cs="Arial"/>
                <w:szCs w:val="20"/>
              </w:rPr>
            </w:pPr>
          </w:p>
        </w:tc>
        <w:tc>
          <w:tcPr>
            <w:tcW w:w="2410" w:type="dxa"/>
          </w:tcPr>
          <w:p w14:paraId="3F4EB251" w14:textId="77777777" w:rsidR="00284FF5" w:rsidRPr="00D21073" w:rsidRDefault="00284FF5" w:rsidP="00284FF5">
            <w:pPr>
              <w:spacing w:after="0"/>
              <w:rPr>
                <w:rFonts w:cs="Arial"/>
                <w:szCs w:val="20"/>
              </w:rPr>
            </w:pPr>
          </w:p>
        </w:tc>
      </w:tr>
    </w:tbl>
    <w:p w14:paraId="464B5D99" w14:textId="77777777" w:rsidR="00D941B4" w:rsidRPr="00D21073" w:rsidRDefault="00284FF5" w:rsidP="00D941B4">
      <w:pPr>
        <w:rPr>
          <w:rFonts w:cs="Arial"/>
          <w:b/>
          <w:sz w:val="22"/>
        </w:rPr>
      </w:pPr>
      <w:r w:rsidRPr="00D21073">
        <w:rPr>
          <w:rFonts w:cs="Arial"/>
          <w:b/>
          <w:sz w:val="22"/>
        </w:rPr>
        <w:t xml:space="preserve">Opsamling på </w:t>
      </w:r>
      <w:r w:rsidR="00AF1223">
        <w:rPr>
          <w:rFonts w:cs="Arial"/>
          <w:b/>
          <w:sz w:val="22"/>
        </w:rPr>
        <w:t>møderne</w:t>
      </w:r>
      <w:r w:rsidRPr="00D21073">
        <w:rPr>
          <w:rFonts w:cs="Arial"/>
          <w:b/>
          <w:sz w:val="22"/>
        </w:rPr>
        <w:t xml:space="preserve"> i produktgruppen</w:t>
      </w:r>
    </w:p>
    <w:p w14:paraId="68CF1135" w14:textId="2B495560" w:rsidR="005A452B" w:rsidRDefault="005A452B" w:rsidP="00DA7C5A">
      <w:pPr>
        <w:spacing w:after="0"/>
        <w:rPr>
          <w:rFonts w:cs="Arial"/>
          <w:sz w:val="22"/>
        </w:rPr>
      </w:pPr>
      <w:r>
        <w:rPr>
          <w:rFonts w:cs="Arial"/>
          <w:sz w:val="22"/>
        </w:rPr>
        <w:t>Produktgruppen præsenterer i indeværende notat sin endelige afrapportering til Ledelsesforum. Gruppen foreslår, at Ledelsesforum efter ca. 1 år modtager en opfølgning på det videre arbejde med</w:t>
      </w:r>
      <w:r w:rsidR="00034613">
        <w:rPr>
          <w:rFonts w:cs="Arial"/>
          <w:sz w:val="22"/>
        </w:rPr>
        <w:t>, der er udført inden for</w:t>
      </w:r>
      <w:r>
        <w:rPr>
          <w:rFonts w:cs="Arial"/>
          <w:sz w:val="22"/>
        </w:rPr>
        <w:t xml:space="preserve"> hvert af de fire temaer, jf. nedenstående beskrivelser af den videre proces for hvert tema. </w:t>
      </w:r>
    </w:p>
    <w:p w14:paraId="164D32BE" w14:textId="77777777" w:rsidR="005A452B" w:rsidRDefault="005A452B" w:rsidP="00DA7C5A">
      <w:pPr>
        <w:spacing w:after="0"/>
        <w:rPr>
          <w:rFonts w:cs="Arial"/>
          <w:sz w:val="22"/>
        </w:rPr>
      </w:pPr>
    </w:p>
    <w:p w14:paraId="4F91112C" w14:textId="3684272C" w:rsidR="005A452B" w:rsidRDefault="005A452B" w:rsidP="00DA7C5A">
      <w:pPr>
        <w:spacing w:after="0"/>
        <w:rPr>
          <w:rFonts w:cs="Arial"/>
          <w:sz w:val="22"/>
        </w:rPr>
      </w:pPr>
      <w:r>
        <w:rPr>
          <w:rFonts w:cs="Arial"/>
          <w:sz w:val="22"/>
        </w:rPr>
        <w:t xml:space="preserve">Produktgruppens arbejde har været fokuseret på at indhente idéer og ønsker fra domstolenes brugere. </w:t>
      </w:r>
      <w:r w:rsidR="006A5C0D" w:rsidRPr="00D21073">
        <w:rPr>
          <w:rFonts w:cs="Arial"/>
          <w:sz w:val="22"/>
        </w:rPr>
        <w:t xml:space="preserve">Produktgruppen har </w:t>
      </w:r>
      <w:r>
        <w:rPr>
          <w:rFonts w:cs="Arial"/>
          <w:sz w:val="22"/>
        </w:rPr>
        <w:t xml:space="preserve">i alt </w:t>
      </w:r>
      <w:r w:rsidR="006A5C0D" w:rsidRPr="00D21073">
        <w:rPr>
          <w:rFonts w:cs="Arial"/>
          <w:sz w:val="22"/>
        </w:rPr>
        <w:t xml:space="preserve">holdt </w:t>
      </w:r>
      <w:r>
        <w:rPr>
          <w:rFonts w:cs="Arial"/>
          <w:sz w:val="22"/>
        </w:rPr>
        <w:t>syv</w:t>
      </w:r>
      <w:r w:rsidRPr="00D21073">
        <w:rPr>
          <w:rFonts w:cs="Arial"/>
          <w:sz w:val="22"/>
        </w:rPr>
        <w:t xml:space="preserve"> </w:t>
      </w:r>
      <w:r w:rsidR="006A5C0D" w:rsidRPr="00D21073">
        <w:rPr>
          <w:rFonts w:cs="Arial"/>
          <w:sz w:val="22"/>
        </w:rPr>
        <w:t xml:space="preserve">møder </w:t>
      </w:r>
      <w:r w:rsidR="000D5C74">
        <w:rPr>
          <w:rFonts w:cs="Arial"/>
          <w:sz w:val="22"/>
        </w:rPr>
        <w:t>heraf tre møde</w:t>
      </w:r>
      <w:r w:rsidR="00A03C5E">
        <w:rPr>
          <w:rFonts w:cs="Arial"/>
          <w:sz w:val="22"/>
        </w:rPr>
        <w:t>r</w:t>
      </w:r>
      <w:r w:rsidR="000D5C74">
        <w:rPr>
          <w:rFonts w:cs="Arial"/>
          <w:sz w:val="22"/>
        </w:rPr>
        <w:t xml:space="preserve"> </w:t>
      </w:r>
      <w:r w:rsidR="006A5C0D" w:rsidRPr="00D21073">
        <w:rPr>
          <w:rFonts w:cs="Arial"/>
          <w:sz w:val="22"/>
        </w:rPr>
        <w:t xml:space="preserve">med forskellige af domstolenes brugere, </w:t>
      </w:r>
      <w:r w:rsidR="000D5C74">
        <w:rPr>
          <w:rFonts w:cs="Arial"/>
          <w:sz w:val="22"/>
        </w:rPr>
        <w:t>repræsenteret ved</w:t>
      </w:r>
      <w:r w:rsidR="006A5C0D" w:rsidRPr="00D21073">
        <w:rPr>
          <w:rFonts w:cs="Arial"/>
          <w:sz w:val="22"/>
        </w:rPr>
        <w:t xml:space="preserve"> erhvervsorganisationer, borger- og forbrugerorganisationer og advokatorganisationerne. På møderne har produktgruppen ud fra en overordnet spørgeramme drøftet forskellige aspekter af domstolsbehandlingen med bruger</w:t>
      </w:r>
      <w:r w:rsidR="00BB2A0F">
        <w:rPr>
          <w:rFonts w:cs="Arial"/>
          <w:sz w:val="22"/>
        </w:rPr>
        <w:t>n</w:t>
      </w:r>
      <w:r w:rsidR="006A5C0D" w:rsidRPr="00D21073">
        <w:rPr>
          <w:rFonts w:cs="Arial"/>
          <w:sz w:val="22"/>
        </w:rPr>
        <w:t>e for at få indblik i</w:t>
      </w:r>
      <w:r w:rsidR="0088132A">
        <w:rPr>
          <w:rFonts w:cs="Arial"/>
          <w:sz w:val="22"/>
        </w:rPr>
        <w:t xml:space="preserve"> brugernes oplevelse af retternes produkter i dag</w:t>
      </w:r>
      <w:r w:rsidR="006A5C0D" w:rsidRPr="00D21073">
        <w:rPr>
          <w:rFonts w:cs="Arial"/>
          <w:sz w:val="22"/>
        </w:rPr>
        <w:t xml:space="preserve">, </w:t>
      </w:r>
      <w:r w:rsidR="0088132A">
        <w:rPr>
          <w:rFonts w:cs="Arial"/>
          <w:sz w:val="22"/>
        </w:rPr>
        <w:t xml:space="preserve">og </w:t>
      </w:r>
      <w:r w:rsidR="006A5C0D" w:rsidRPr="00D21073">
        <w:rPr>
          <w:rFonts w:cs="Arial"/>
          <w:sz w:val="22"/>
        </w:rPr>
        <w:t>hvilke pro</w:t>
      </w:r>
      <w:r w:rsidR="00A04B70">
        <w:rPr>
          <w:rFonts w:cs="Arial"/>
          <w:sz w:val="22"/>
        </w:rPr>
        <w:t>dukter brugerne efterspørger</w:t>
      </w:r>
      <w:r>
        <w:rPr>
          <w:rFonts w:cs="Arial"/>
          <w:sz w:val="22"/>
        </w:rPr>
        <w:t xml:space="preserve">. </w:t>
      </w:r>
    </w:p>
    <w:p w14:paraId="4B1446D8" w14:textId="77777777" w:rsidR="005A452B" w:rsidRDefault="005A452B" w:rsidP="00DA7C5A">
      <w:pPr>
        <w:spacing w:after="0"/>
        <w:rPr>
          <w:rFonts w:cs="Arial"/>
          <w:sz w:val="22"/>
        </w:rPr>
      </w:pPr>
    </w:p>
    <w:p w14:paraId="43719163" w14:textId="3010836E" w:rsidR="00837214" w:rsidRDefault="006A5C0D" w:rsidP="00DA7C5A">
      <w:pPr>
        <w:spacing w:after="0"/>
        <w:rPr>
          <w:rFonts w:cs="Arial"/>
          <w:sz w:val="22"/>
        </w:rPr>
      </w:pPr>
      <w:r w:rsidRPr="00D21073">
        <w:rPr>
          <w:rFonts w:cs="Arial"/>
          <w:sz w:val="22"/>
        </w:rPr>
        <w:t xml:space="preserve">Drøftelserne har særligt </w:t>
      </w:r>
      <w:r w:rsidR="00D3398B">
        <w:rPr>
          <w:rFonts w:cs="Arial"/>
          <w:sz w:val="22"/>
        </w:rPr>
        <w:t xml:space="preserve">blotlagt </w:t>
      </w:r>
      <w:r w:rsidR="00203420">
        <w:rPr>
          <w:rFonts w:cs="Arial"/>
          <w:sz w:val="22"/>
        </w:rPr>
        <w:t xml:space="preserve">fire </w:t>
      </w:r>
      <w:r w:rsidR="001712D8">
        <w:rPr>
          <w:rFonts w:cs="Arial"/>
          <w:sz w:val="22"/>
        </w:rPr>
        <w:t>overordnede</w:t>
      </w:r>
      <w:r w:rsidR="009B50B9">
        <w:rPr>
          <w:rFonts w:cs="Arial"/>
          <w:sz w:val="22"/>
        </w:rPr>
        <w:t xml:space="preserve"> temaer</w:t>
      </w:r>
      <w:r w:rsidR="002C4C2A">
        <w:rPr>
          <w:rFonts w:cs="Arial"/>
          <w:sz w:val="22"/>
        </w:rPr>
        <w:t>, inden for hvilke domstolene kan forbedre de produkter, som borgerne tilbydes</w:t>
      </w:r>
      <w:r w:rsidR="009B50B9">
        <w:rPr>
          <w:rFonts w:cs="Arial"/>
          <w:sz w:val="22"/>
        </w:rPr>
        <w:t xml:space="preserve">. </w:t>
      </w:r>
      <w:r w:rsidR="009734AA">
        <w:rPr>
          <w:rFonts w:cs="Arial"/>
          <w:sz w:val="22"/>
        </w:rPr>
        <w:t>Tiltagene</w:t>
      </w:r>
      <w:r w:rsidR="005A452B">
        <w:rPr>
          <w:rFonts w:cs="Arial"/>
          <w:sz w:val="22"/>
        </w:rPr>
        <w:t xml:space="preserve"> inden for hvert tema </w:t>
      </w:r>
      <w:r w:rsidR="009734AA">
        <w:rPr>
          <w:rFonts w:cs="Arial"/>
          <w:sz w:val="22"/>
        </w:rPr>
        <w:t>repræsenterer</w:t>
      </w:r>
      <w:r w:rsidR="005A452B">
        <w:rPr>
          <w:rFonts w:cs="Arial"/>
          <w:sz w:val="22"/>
        </w:rPr>
        <w:t xml:space="preserve"> produktgruppens forslag til konkrete </w:t>
      </w:r>
      <w:r w:rsidR="009734AA">
        <w:rPr>
          <w:rFonts w:cs="Arial"/>
          <w:sz w:val="22"/>
        </w:rPr>
        <w:t>forbedringer af domstolenes produkter, som er udformet</w:t>
      </w:r>
      <w:r w:rsidR="005A452B">
        <w:rPr>
          <w:rFonts w:cs="Arial"/>
          <w:sz w:val="22"/>
        </w:rPr>
        <w:t xml:space="preserve"> på baggrund af drøftelserne med brugerne. </w:t>
      </w:r>
      <w:r w:rsidR="009B50B9">
        <w:rPr>
          <w:rFonts w:cs="Arial"/>
          <w:sz w:val="22"/>
        </w:rPr>
        <w:t>N</w:t>
      </w:r>
      <w:r w:rsidRPr="00D21073">
        <w:rPr>
          <w:rFonts w:cs="Arial"/>
          <w:sz w:val="22"/>
        </w:rPr>
        <w:t>edenfor er</w:t>
      </w:r>
      <w:r w:rsidR="00B63FC6">
        <w:rPr>
          <w:rFonts w:cs="Arial"/>
          <w:sz w:val="22"/>
        </w:rPr>
        <w:t xml:space="preserve"> for hvert tema</w:t>
      </w:r>
      <w:r w:rsidRPr="00D21073">
        <w:rPr>
          <w:rFonts w:cs="Arial"/>
          <w:sz w:val="22"/>
        </w:rPr>
        <w:t xml:space="preserve"> en gennemgang af de væsentligste overvejelser</w:t>
      </w:r>
      <w:r w:rsidR="00B63FC6">
        <w:rPr>
          <w:rFonts w:cs="Arial"/>
          <w:sz w:val="22"/>
        </w:rPr>
        <w:t xml:space="preserve">, </w:t>
      </w:r>
      <w:r w:rsidRPr="00D21073">
        <w:rPr>
          <w:rFonts w:cs="Arial"/>
          <w:sz w:val="22"/>
        </w:rPr>
        <w:t xml:space="preserve">konkrete forslag til forbedringer </w:t>
      </w:r>
      <w:r w:rsidR="00B63FC6">
        <w:rPr>
          <w:rFonts w:cs="Arial"/>
          <w:sz w:val="22"/>
        </w:rPr>
        <w:t>samt den videre proces</w:t>
      </w:r>
      <w:r w:rsidRPr="00D21073">
        <w:rPr>
          <w:rFonts w:cs="Arial"/>
          <w:sz w:val="22"/>
        </w:rPr>
        <w:t xml:space="preserve">. </w:t>
      </w:r>
    </w:p>
    <w:p w14:paraId="3FF41702" w14:textId="77777777" w:rsidR="00837214" w:rsidRDefault="00837214" w:rsidP="00DA7C5A">
      <w:pPr>
        <w:spacing w:after="0"/>
        <w:rPr>
          <w:rFonts w:cs="Arial"/>
          <w:sz w:val="22"/>
        </w:rPr>
      </w:pPr>
    </w:p>
    <w:p w14:paraId="05A8109B" w14:textId="628C6B0F" w:rsidR="006A5C0D" w:rsidRPr="00D21073" w:rsidRDefault="00837214" w:rsidP="00DA7C5A">
      <w:pPr>
        <w:spacing w:after="0"/>
        <w:rPr>
          <w:rFonts w:cs="Arial"/>
          <w:sz w:val="22"/>
        </w:rPr>
      </w:pPr>
      <w:r>
        <w:rPr>
          <w:rFonts w:cs="Arial"/>
          <w:sz w:val="22"/>
        </w:rPr>
        <w:t>I forbindelse med de afsluttende møder er det i gruppen blevet drøftet, at domstolene i et nyt arbejdsgruppeforløb kunne hente inspiration fra udenlandske domstole for at få idéer til tilpassede eller nye produkter ved Danmarks Domstole. Produktgruppen foreslår, at Domstolsstyrelsen udarbejder et nyt kommissorium for en arbejdsgruppe, der skal hente erfaringer og inspiration fra udlandet med henblik på at foreslå nye eller justerede produkter, som Danmarks Domstole kan tilbyde brugerne.</w:t>
      </w:r>
    </w:p>
    <w:p w14:paraId="1B91B47F" w14:textId="77777777" w:rsidR="00DA7C5A" w:rsidRPr="00D21073" w:rsidRDefault="00DA7C5A" w:rsidP="00DA7C5A">
      <w:pPr>
        <w:spacing w:after="0"/>
        <w:rPr>
          <w:rFonts w:cs="Arial"/>
          <w:b/>
          <w:sz w:val="22"/>
        </w:rPr>
      </w:pPr>
    </w:p>
    <w:p w14:paraId="3FC629BA" w14:textId="77777777" w:rsidR="00F3156E" w:rsidRPr="00D21073" w:rsidRDefault="00F3156E" w:rsidP="00DA7C5A">
      <w:pPr>
        <w:spacing w:after="0"/>
        <w:rPr>
          <w:rFonts w:cs="Arial"/>
          <w:b/>
          <w:sz w:val="22"/>
        </w:rPr>
      </w:pPr>
    </w:p>
    <w:p w14:paraId="303BAA40" w14:textId="77777777" w:rsidR="00DA7C5A" w:rsidRPr="00D21073" w:rsidRDefault="00A44B38" w:rsidP="00DA7C5A">
      <w:pPr>
        <w:spacing w:after="0"/>
        <w:rPr>
          <w:rFonts w:cs="Arial"/>
          <w:b/>
          <w:sz w:val="22"/>
        </w:rPr>
      </w:pPr>
      <w:r>
        <w:rPr>
          <w:rFonts w:cs="Arial"/>
          <w:b/>
          <w:sz w:val="22"/>
        </w:rPr>
        <w:t>Temaer</w:t>
      </w:r>
    </w:p>
    <w:p w14:paraId="7BFF1F61" w14:textId="77777777" w:rsidR="00DA7C5A" w:rsidRPr="00D21073" w:rsidRDefault="00DA7C5A" w:rsidP="00DA7C5A">
      <w:pPr>
        <w:spacing w:after="0"/>
        <w:rPr>
          <w:rFonts w:cs="Arial"/>
          <w:sz w:val="22"/>
        </w:rPr>
      </w:pPr>
    </w:p>
    <w:p w14:paraId="0563CD0B" w14:textId="77777777" w:rsidR="00642D60" w:rsidRDefault="001548A5" w:rsidP="00642D60">
      <w:pPr>
        <w:spacing w:after="0"/>
        <w:rPr>
          <w:rFonts w:cs="Arial"/>
          <w:sz w:val="22"/>
        </w:rPr>
      </w:pPr>
      <w:r>
        <w:rPr>
          <w:rFonts w:cs="Arial"/>
          <w:sz w:val="22"/>
          <w:u w:val="single"/>
        </w:rPr>
        <w:t xml:space="preserve">1. </w:t>
      </w:r>
      <w:r w:rsidR="00642D60">
        <w:rPr>
          <w:rFonts w:cs="Arial"/>
          <w:sz w:val="22"/>
          <w:u w:val="single"/>
        </w:rPr>
        <w:t>Ensartethed</w:t>
      </w:r>
    </w:p>
    <w:p w14:paraId="60BDDBC3" w14:textId="77777777" w:rsidR="00642D60" w:rsidRDefault="00642D60" w:rsidP="00642D60">
      <w:pPr>
        <w:spacing w:after="0"/>
        <w:rPr>
          <w:rFonts w:cs="Arial"/>
          <w:sz w:val="22"/>
        </w:rPr>
      </w:pPr>
    </w:p>
    <w:p w14:paraId="6EA4AD97" w14:textId="77777777" w:rsidR="00642D60" w:rsidRDefault="00642D60" w:rsidP="00642D60">
      <w:pPr>
        <w:spacing w:after="0"/>
        <w:rPr>
          <w:rFonts w:cs="Arial"/>
          <w:sz w:val="22"/>
        </w:rPr>
      </w:pPr>
      <w:r>
        <w:rPr>
          <w:rFonts w:cs="Arial"/>
          <w:sz w:val="22"/>
        </w:rPr>
        <w:t>Det er afgørende bruger</w:t>
      </w:r>
      <w:r w:rsidR="00F70F3A">
        <w:rPr>
          <w:rFonts w:cs="Arial"/>
          <w:sz w:val="22"/>
        </w:rPr>
        <w:t>n</w:t>
      </w:r>
      <w:r>
        <w:rPr>
          <w:rFonts w:cs="Arial"/>
          <w:sz w:val="22"/>
        </w:rPr>
        <w:t xml:space="preserve">es tilfredshed med og tillid til domstolene, at de oplever en ensartet behandling af sager på tværs af landets domstole. I dag oplever brugerne somme tider, at sagerne behandles forskelligt ved forskellige embeder, og sågar kan </w:t>
      </w:r>
      <w:r w:rsidR="00E87859">
        <w:rPr>
          <w:rFonts w:cs="Arial"/>
          <w:sz w:val="22"/>
        </w:rPr>
        <w:t>sagsbehandlingen</w:t>
      </w:r>
      <w:r>
        <w:rPr>
          <w:rFonts w:cs="Arial"/>
          <w:sz w:val="22"/>
        </w:rPr>
        <w:t xml:space="preserve"> variere mellem</w:t>
      </w:r>
      <w:r w:rsidR="009F3E63">
        <w:rPr>
          <w:rFonts w:cs="Arial"/>
          <w:sz w:val="22"/>
        </w:rPr>
        <w:t xml:space="preserve"> forskellige</w:t>
      </w:r>
      <w:r>
        <w:rPr>
          <w:rFonts w:cs="Arial"/>
          <w:sz w:val="22"/>
        </w:rPr>
        <w:t xml:space="preserve"> dommere ved samme embede. </w:t>
      </w:r>
      <w:r w:rsidR="00FC2248">
        <w:rPr>
          <w:rFonts w:cs="Arial"/>
          <w:sz w:val="22"/>
        </w:rPr>
        <w:t>Det er vigtigt</w:t>
      </w:r>
      <w:r w:rsidR="007B3ADF">
        <w:rPr>
          <w:rFonts w:cs="Arial"/>
          <w:sz w:val="22"/>
        </w:rPr>
        <w:t xml:space="preserve"> både</w:t>
      </w:r>
      <w:r w:rsidR="00FC2248">
        <w:rPr>
          <w:rFonts w:cs="Arial"/>
          <w:sz w:val="22"/>
        </w:rPr>
        <w:t xml:space="preserve"> for de professionelle brugere</w:t>
      </w:r>
      <w:r w:rsidR="007B3ADF">
        <w:rPr>
          <w:rFonts w:cs="Arial"/>
          <w:sz w:val="22"/>
        </w:rPr>
        <w:t xml:space="preserve"> og</w:t>
      </w:r>
      <w:r w:rsidR="00FC2248">
        <w:rPr>
          <w:rFonts w:cs="Arial"/>
          <w:sz w:val="22"/>
        </w:rPr>
        <w:t xml:space="preserve"> for den generelle opfattelse af domstolenes sagsbehandling, at sagerne håndteres og afgøres nogenlunde ens på tværs af landet. </w:t>
      </w:r>
    </w:p>
    <w:p w14:paraId="61B61CE6" w14:textId="211479C8" w:rsidR="00916927" w:rsidRDefault="00916927" w:rsidP="00642D60">
      <w:pPr>
        <w:spacing w:after="0"/>
        <w:rPr>
          <w:rFonts w:cs="Arial"/>
          <w:sz w:val="22"/>
        </w:rPr>
      </w:pPr>
    </w:p>
    <w:p w14:paraId="2990A794" w14:textId="1ECAFA96" w:rsidR="002453D3" w:rsidRDefault="002453D3" w:rsidP="00642D60">
      <w:pPr>
        <w:spacing w:after="0"/>
        <w:rPr>
          <w:rFonts w:cs="Arial"/>
          <w:sz w:val="22"/>
        </w:rPr>
      </w:pPr>
    </w:p>
    <w:p w14:paraId="4502B92E" w14:textId="77777777" w:rsidR="00642D60" w:rsidRPr="00D21073" w:rsidRDefault="00642D60" w:rsidP="00642D60">
      <w:pPr>
        <w:spacing w:after="0"/>
        <w:rPr>
          <w:rFonts w:cs="Arial"/>
          <w:sz w:val="22"/>
        </w:rPr>
      </w:pPr>
      <w:r>
        <w:rPr>
          <w:rFonts w:cs="Arial"/>
          <w:i/>
          <w:sz w:val="22"/>
        </w:rPr>
        <w:lastRenderedPageBreak/>
        <w:t>Konkrete forslag</w:t>
      </w:r>
    </w:p>
    <w:p w14:paraId="2C938386" w14:textId="57AB982E" w:rsidR="002453D3" w:rsidRDefault="002453D3" w:rsidP="0052465D">
      <w:pPr>
        <w:pStyle w:val="Listeafsnit"/>
        <w:numPr>
          <w:ilvl w:val="0"/>
          <w:numId w:val="3"/>
        </w:numPr>
        <w:spacing w:line="276" w:lineRule="auto"/>
        <w:contextualSpacing/>
        <w:rPr>
          <w:rFonts w:ascii="Arial" w:hAnsi="Arial" w:cs="Arial"/>
        </w:rPr>
      </w:pPr>
      <w:r>
        <w:rPr>
          <w:rFonts w:ascii="Arial" w:hAnsi="Arial" w:cs="Arial"/>
        </w:rPr>
        <w:t>Produktgruppen</w:t>
      </w:r>
      <w:bookmarkStart w:id="0" w:name="_GoBack"/>
      <w:bookmarkEnd w:id="0"/>
      <w:r>
        <w:rPr>
          <w:rFonts w:ascii="Arial" w:hAnsi="Arial" w:cs="Arial"/>
        </w:rPr>
        <w:t xml:space="preserve"> har fra FinansDanmark modtaget et forslag angående en forenklet procedure frem til udstedelsen af en skifteattest. </w:t>
      </w:r>
      <w:r w:rsidR="005C54A8">
        <w:rPr>
          <w:rFonts w:ascii="Arial" w:hAnsi="Arial" w:cs="Arial"/>
        </w:rPr>
        <w:t xml:space="preserve">Forslaget sammenligner det nuværende sagsflow med det ønskede sagsflow, og det er vedlagt indeværende notat som bilag A. </w:t>
      </w:r>
    </w:p>
    <w:p w14:paraId="1487041D" w14:textId="318A0A11" w:rsidR="00642D60" w:rsidRPr="009D522E" w:rsidRDefault="00684C80" w:rsidP="00684C80">
      <w:pPr>
        <w:pStyle w:val="Listeafsnit"/>
        <w:numPr>
          <w:ilvl w:val="0"/>
          <w:numId w:val="3"/>
        </w:numPr>
        <w:spacing w:line="276" w:lineRule="auto"/>
        <w:contextualSpacing/>
        <w:rPr>
          <w:rFonts w:ascii="Arial" w:hAnsi="Arial" w:cs="Arial"/>
        </w:rPr>
      </w:pPr>
      <w:r w:rsidRPr="00A75739">
        <w:rPr>
          <w:rFonts w:ascii="Arial" w:hAnsi="Arial" w:cs="Arial"/>
        </w:rPr>
        <w:t xml:space="preserve">Der er hos brugerne et ønske om flere vejledninger på større sagsområder, som typisk giver en mere ensartet sagsbehandling. </w:t>
      </w:r>
      <w:r w:rsidRPr="009D522E">
        <w:rPr>
          <w:rFonts w:ascii="Arial" w:hAnsi="Arial" w:cs="Arial"/>
        </w:rPr>
        <w:t xml:space="preserve">Der er bl.a. en vejledning om civile sager, og en vejledning om familieretlige sager er på vej. </w:t>
      </w:r>
      <w:r w:rsidRPr="009D522E">
        <w:rPr>
          <w:rFonts w:ascii="Arial" w:hAnsi="Arial" w:cs="Arial"/>
        </w:rPr>
        <w:t>Det er i sidste ende dommerne, som afgør, om de ønsker yderligere vejledninger, men erfaringen er, at vejledninger generelt kan være med til at skabe gode rammer for en mere ensartet sagsbehandling på tværs af retterne. Når vejledninger udarbejdes, kan de med fordel udarbejdes med input fra advokaterne og andre interessenter</w:t>
      </w:r>
      <w:r w:rsidR="00642D60" w:rsidRPr="00684C80">
        <w:rPr>
          <w:rFonts w:ascii="Arial" w:hAnsi="Arial" w:cs="Arial"/>
        </w:rPr>
        <w:t>Øst-Vest-møderne</w:t>
      </w:r>
      <w:r w:rsidR="00874F92" w:rsidRPr="009D522E">
        <w:rPr>
          <w:rFonts w:ascii="Arial" w:hAnsi="Arial" w:cs="Arial"/>
        </w:rPr>
        <w:t>, Østdommermøde, Jysk</w:t>
      </w:r>
      <w:r w:rsidR="00F70F3A" w:rsidRPr="009D522E">
        <w:rPr>
          <w:rFonts w:ascii="Arial" w:hAnsi="Arial" w:cs="Arial"/>
        </w:rPr>
        <w:t xml:space="preserve"> D</w:t>
      </w:r>
      <w:r w:rsidR="00874F92" w:rsidRPr="009D522E">
        <w:rPr>
          <w:rFonts w:ascii="Arial" w:hAnsi="Arial" w:cs="Arial"/>
        </w:rPr>
        <w:t xml:space="preserve">ommermøde og områdemøderne drøfter dommerne </w:t>
      </w:r>
      <w:r w:rsidR="00EB3E60" w:rsidRPr="009D522E">
        <w:rPr>
          <w:rFonts w:ascii="Arial" w:hAnsi="Arial" w:cs="Arial"/>
        </w:rPr>
        <w:t>enten internt eller</w:t>
      </w:r>
      <w:r w:rsidR="00874F92" w:rsidRPr="009D522E">
        <w:rPr>
          <w:rFonts w:ascii="Arial" w:hAnsi="Arial" w:cs="Arial"/>
        </w:rPr>
        <w:t xml:space="preserve"> med de professionelle brugere forskellige emner med henblik på at afdække mulighederne for en fælles tilgang</w:t>
      </w:r>
      <w:r w:rsidR="00355F8B" w:rsidRPr="009D522E">
        <w:rPr>
          <w:rFonts w:ascii="Arial" w:hAnsi="Arial" w:cs="Arial"/>
        </w:rPr>
        <w:t xml:space="preserve"> på tværs af domstolene</w:t>
      </w:r>
      <w:r w:rsidR="00874F92" w:rsidRPr="009D522E">
        <w:rPr>
          <w:rFonts w:ascii="Arial" w:hAnsi="Arial" w:cs="Arial"/>
        </w:rPr>
        <w:t xml:space="preserve"> for at </w:t>
      </w:r>
      <w:r w:rsidR="00146536" w:rsidRPr="009D522E">
        <w:rPr>
          <w:rFonts w:ascii="Arial" w:hAnsi="Arial" w:cs="Arial"/>
        </w:rPr>
        <w:t xml:space="preserve">arbejde for </w:t>
      </w:r>
      <w:r w:rsidR="0048240D" w:rsidRPr="009D522E">
        <w:rPr>
          <w:rFonts w:ascii="Arial" w:hAnsi="Arial" w:cs="Arial"/>
        </w:rPr>
        <w:t xml:space="preserve">større </w:t>
      </w:r>
      <w:r w:rsidR="00874F92" w:rsidRPr="009D522E">
        <w:rPr>
          <w:rFonts w:ascii="Arial" w:hAnsi="Arial" w:cs="Arial"/>
        </w:rPr>
        <w:t>ensartethed.</w:t>
      </w:r>
      <w:r w:rsidR="0052465D" w:rsidRPr="009D522E">
        <w:rPr>
          <w:rFonts w:ascii="Arial" w:hAnsi="Arial" w:cs="Arial"/>
        </w:rPr>
        <w:t xml:space="preserve"> </w:t>
      </w:r>
      <w:r w:rsidR="00FC179C" w:rsidRPr="009D522E">
        <w:rPr>
          <w:rFonts w:ascii="Arial" w:hAnsi="Arial" w:cs="Arial"/>
        </w:rPr>
        <w:t>D</w:t>
      </w:r>
      <w:r w:rsidR="00FA79A4" w:rsidRPr="009D522E">
        <w:rPr>
          <w:rFonts w:ascii="Arial" w:hAnsi="Arial" w:cs="Arial"/>
        </w:rPr>
        <w:t xml:space="preserve">røftelserne i ovenstående fora </w:t>
      </w:r>
      <w:r w:rsidR="00FC179C" w:rsidRPr="009D522E">
        <w:rPr>
          <w:rFonts w:ascii="Arial" w:hAnsi="Arial" w:cs="Arial"/>
        </w:rPr>
        <w:t xml:space="preserve">er væsentlige for at give </w:t>
      </w:r>
      <w:r w:rsidR="00203420" w:rsidRPr="009D522E">
        <w:rPr>
          <w:rFonts w:ascii="Arial" w:hAnsi="Arial" w:cs="Arial"/>
        </w:rPr>
        <w:t xml:space="preserve">dommerne </w:t>
      </w:r>
      <w:r w:rsidR="00FC179C" w:rsidRPr="009D522E">
        <w:rPr>
          <w:rFonts w:ascii="Arial" w:hAnsi="Arial" w:cs="Arial"/>
        </w:rPr>
        <w:t>mulighed for at overveje forslag til nye, fælles vejledninger</w:t>
      </w:r>
      <w:r w:rsidR="00FA79A4" w:rsidRPr="009D522E">
        <w:rPr>
          <w:rFonts w:ascii="Arial" w:hAnsi="Arial" w:cs="Arial"/>
        </w:rPr>
        <w:t xml:space="preserve"> </w:t>
      </w:r>
      <w:r w:rsidR="00642D60" w:rsidRPr="009D522E">
        <w:rPr>
          <w:rFonts w:ascii="Arial" w:hAnsi="Arial" w:cs="Arial"/>
        </w:rPr>
        <w:t>til sagsbehandlingen</w:t>
      </w:r>
      <w:r w:rsidR="00855EDB" w:rsidRPr="009D522E">
        <w:rPr>
          <w:rFonts w:ascii="Arial" w:hAnsi="Arial" w:cs="Arial"/>
        </w:rPr>
        <w:t xml:space="preserve"> fra blandt andet videndelinggrupperne eller de etablerede dommernetværk</w:t>
      </w:r>
      <w:r w:rsidR="00CC3680" w:rsidRPr="009D522E">
        <w:rPr>
          <w:rFonts w:ascii="Arial" w:hAnsi="Arial" w:cs="Arial"/>
        </w:rPr>
        <w:t xml:space="preserve">. </w:t>
      </w:r>
      <w:r w:rsidRPr="009D522E">
        <w:rPr>
          <w:rFonts w:ascii="Arial" w:hAnsi="Arial" w:cs="Arial"/>
        </w:rPr>
        <w:t xml:space="preserve">Det foreslås derfor, at spørgsmålet om ønske om eller behov for nye vejledninger er et fast punkt på de nævnte møder. </w:t>
      </w:r>
    </w:p>
    <w:p w14:paraId="1AB57D51" w14:textId="77777777" w:rsidR="002703E5" w:rsidRPr="00D21073" w:rsidRDefault="002703E5" w:rsidP="002703E5">
      <w:pPr>
        <w:pStyle w:val="Listeafsnit"/>
        <w:numPr>
          <w:ilvl w:val="0"/>
          <w:numId w:val="3"/>
        </w:numPr>
        <w:spacing w:line="276" w:lineRule="auto"/>
        <w:contextualSpacing/>
        <w:rPr>
          <w:rFonts w:ascii="Arial" w:hAnsi="Arial" w:cs="Arial"/>
        </w:rPr>
      </w:pPr>
      <w:r w:rsidRPr="00D21073">
        <w:rPr>
          <w:rFonts w:ascii="Arial" w:hAnsi="Arial" w:cs="Arial"/>
        </w:rPr>
        <w:t xml:space="preserve">Det vil være en fordel med fælles tekniske standarder for blandt andet </w:t>
      </w:r>
      <w:r w:rsidR="0010028A">
        <w:rPr>
          <w:rFonts w:ascii="Arial" w:hAnsi="Arial" w:cs="Arial"/>
        </w:rPr>
        <w:t xml:space="preserve">indscanning af </w:t>
      </w:r>
      <w:r w:rsidRPr="00D21073">
        <w:rPr>
          <w:rFonts w:ascii="Arial" w:hAnsi="Arial" w:cs="Arial"/>
        </w:rPr>
        <w:t>materiale</w:t>
      </w:r>
      <w:r w:rsidR="0010028A">
        <w:rPr>
          <w:rFonts w:ascii="Arial" w:hAnsi="Arial" w:cs="Arial"/>
        </w:rPr>
        <w:t>, som sendes</w:t>
      </w:r>
      <w:r w:rsidRPr="00D21073">
        <w:rPr>
          <w:rFonts w:ascii="Arial" w:hAnsi="Arial" w:cs="Arial"/>
        </w:rPr>
        <w:t xml:space="preserve"> til retten i forbindelse med </w:t>
      </w:r>
      <w:r w:rsidR="0010028A">
        <w:rPr>
          <w:rFonts w:ascii="Arial" w:hAnsi="Arial" w:cs="Arial"/>
        </w:rPr>
        <w:t>den digitale behandling af sager</w:t>
      </w:r>
      <w:r w:rsidRPr="00D21073">
        <w:rPr>
          <w:rFonts w:ascii="Arial" w:hAnsi="Arial" w:cs="Arial"/>
        </w:rPr>
        <w:t>.</w:t>
      </w:r>
    </w:p>
    <w:p w14:paraId="187D557F" w14:textId="5199ED1A" w:rsidR="00B16B27" w:rsidRDefault="00B16B27" w:rsidP="00642D60">
      <w:pPr>
        <w:pStyle w:val="Listeafsnit"/>
        <w:numPr>
          <w:ilvl w:val="0"/>
          <w:numId w:val="3"/>
        </w:numPr>
        <w:spacing w:line="276" w:lineRule="auto"/>
        <w:contextualSpacing/>
        <w:rPr>
          <w:rFonts w:ascii="Arial" w:hAnsi="Arial" w:cs="Arial"/>
        </w:rPr>
      </w:pPr>
      <w:r>
        <w:rPr>
          <w:rFonts w:ascii="Arial" w:hAnsi="Arial" w:cs="Arial"/>
        </w:rPr>
        <w:t>Det er vigtigt, at retterne</w:t>
      </w:r>
      <w:r w:rsidR="00AC754C">
        <w:rPr>
          <w:rFonts w:ascii="Arial" w:hAnsi="Arial" w:cs="Arial"/>
        </w:rPr>
        <w:t xml:space="preserve"> hurtigst muligt</w:t>
      </w:r>
      <w:r>
        <w:rPr>
          <w:rFonts w:ascii="Arial" w:hAnsi="Arial" w:cs="Arial"/>
        </w:rPr>
        <w:t xml:space="preserve"> skriver domsresuméer af de sager, som har særlig interesse</w:t>
      </w:r>
      <w:r w:rsidR="00D6348E">
        <w:rPr>
          <w:rFonts w:ascii="Arial" w:hAnsi="Arial" w:cs="Arial"/>
        </w:rPr>
        <w:t xml:space="preserve"> for offentligheden og for domstolenes brugere</w:t>
      </w:r>
      <w:r>
        <w:rPr>
          <w:rFonts w:ascii="Arial" w:hAnsi="Arial" w:cs="Arial"/>
        </w:rPr>
        <w:t xml:space="preserve">. Det skal sikre, at </w:t>
      </w:r>
      <w:r w:rsidR="00D6348E">
        <w:rPr>
          <w:rFonts w:ascii="Arial" w:hAnsi="Arial" w:cs="Arial"/>
        </w:rPr>
        <w:t xml:space="preserve">offentligheden og </w:t>
      </w:r>
      <w:r w:rsidR="00616CBB">
        <w:rPr>
          <w:rFonts w:ascii="Arial" w:hAnsi="Arial" w:cs="Arial"/>
        </w:rPr>
        <w:t>brugere</w:t>
      </w:r>
      <w:r>
        <w:rPr>
          <w:rFonts w:ascii="Arial" w:hAnsi="Arial" w:cs="Arial"/>
        </w:rPr>
        <w:t xml:space="preserve"> får indsigt i udvalgte afgørelser fra domstolene. </w:t>
      </w:r>
      <w:r w:rsidR="00E8628A">
        <w:rPr>
          <w:rFonts w:ascii="Arial" w:hAnsi="Arial" w:cs="Arial"/>
        </w:rPr>
        <w:t xml:space="preserve">I følgende sager </w:t>
      </w:r>
      <w:r w:rsidR="00030A97">
        <w:rPr>
          <w:rFonts w:ascii="Arial" w:hAnsi="Arial" w:cs="Arial"/>
        </w:rPr>
        <w:t xml:space="preserve">bør </w:t>
      </w:r>
      <w:r w:rsidR="00E8628A">
        <w:rPr>
          <w:rFonts w:ascii="Arial" w:hAnsi="Arial" w:cs="Arial"/>
        </w:rPr>
        <w:t xml:space="preserve">retten </w:t>
      </w:r>
      <w:r w:rsidR="00030A97">
        <w:rPr>
          <w:rFonts w:ascii="Arial" w:hAnsi="Arial" w:cs="Arial"/>
        </w:rPr>
        <w:t xml:space="preserve">sædvanligvis </w:t>
      </w:r>
      <w:r w:rsidR="00E8628A">
        <w:rPr>
          <w:rFonts w:ascii="Arial" w:hAnsi="Arial" w:cs="Arial"/>
        </w:rPr>
        <w:t>udarbejde et domsresumé af afgørelse</w:t>
      </w:r>
      <w:r w:rsidR="00703AEF">
        <w:rPr>
          <w:rFonts w:ascii="Arial" w:hAnsi="Arial" w:cs="Arial"/>
        </w:rPr>
        <w:t>n</w:t>
      </w:r>
      <w:r>
        <w:rPr>
          <w:rFonts w:ascii="Arial" w:hAnsi="Arial" w:cs="Arial"/>
        </w:rPr>
        <w:t xml:space="preserve">: </w:t>
      </w:r>
    </w:p>
    <w:p w14:paraId="509500F9" w14:textId="45750158" w:rsidR="00030A97" w:rsidRDefault="00E8628A" w:rsidP="009D522E">
      <w:pPr>
        <w:pStyle w:val="Listeafsnit"/>
        <w:numPr>
          <w:ilvl w:val="1"/>
          <w:numId w:val="3"/>
        </w:numPr>
        <w:spacing w:line="276" w:lineRule="auto"/>
        <w:contextualSpacing/>
        <w:rPr>
          <w:rFonts w:ascii="Arial" w:hAnsi="Arial" w:cs="Arial"/>
        </w:rPr>
      </w:pPr>
      <w:r>
        <w:rPr>
          <w:rFonts w:ascii="Arial" w:hAnsi="Arial" w:cs="Arial"/>
        </w:rPr>
        <w:t>Alle tredommersager</w:t>
      </w:r>
    </w:p>
    <w:p w14:paraId="34C16203" w14:textId="1B521E69" w:rsidR="00E8628A" w:rsidRDefault="00E8628A" w:rsidP="009D522E">
      <w:pPr>
        <w:pStyle w:val="Listeafsnit"/>
        <w:numPr>
          <w:ilvl w:val="1"/>
          <w:numId w:val="3"/>
        </w:numPr>
        <w:spacing w:line="276" w:lineRule="auto"/>
        <w:contextualSpacing/>
        <w:rPr>
          <w:rFonts w:ascii="Arial" w:hAnsi="Arial" w:cs="Arial"/>
        </w:rPr>
      </w:pPr>
      <w:r>
        <w:rPr>
          <w:rFonts w:ascii="Arial" w:hAnsi="Arial" w:cs="Arial"/>
        </w:rPr>
        <w:t>Nævningesager</w:t>
      </w:r>
    </w:p>
    <w:p w14:paraId="38655805" w14:textId="42C909E8" w:rsidR="00E8628A" w:rsidRDefault="00E8628A" w:rsidP="009D522E">
      <w:pPr>
        <w:pStyle w:val="Listeafsnit"/>
        <w:numPr>
          <w:ilvl w:val="1"/>
          <w:numId w:val="3"/>
        </w:numPr>
        <w:spacing w:line="276" w:lineRule="auto"/>
        <w:contextualSpacing/>
        <w:rPr>
          <w:rFonts w:ascii="Arial" w:hAnsi="Arial" w:cs="Arial"/>
        </w:rPr>
      </w:pPr>
      <w:r>
        <w:rPr>
          <w:rFonts w:ascii="Arial" w:hAnsi="Arial" w:cs="Arial"/>
        </w:rPr>
        <w:t>Sager af offentlig interesse</w:t>
      </w:r>
    </w:p>
    <w:p w14:paraId="5778CC5C" w14:textId="77777777" w:rsidR="00717988" w:rsidRDefault="00717988" w:rsidP="00DA7C5A">
      <w:pPr>
        <w:spacing w:after="0"/>
        <w:rPr>
          <w:rFonts w:cs="Arial"/>
          <w:sz w:val="22"/>
          <w:u w:val="single"/>
        </w:rPr>
      </w:pPr>
    </w:p>
    <w:p w14:paraId="780E4326" w14:textId="77777777" w:rsidR="00717988" w:rsidRDefault="00D44ED1" w:rsidP="00DA7C5A">
      <w:pPr>
        <w:spacing w:after="0"/>
        <w:rPr>
          <w:rFonts w:cs="Arial"/>
          <w:i/>
          <w:sz w:val="22"/>
        </w:rPr>
      </w:pPr>
      <w:r>
        <w:rPr>
          <w:rFonts w:cs="Arial"/>
          <w:i/>
          <w:sz w:val="22"/>
        </w:rPr>
        <w:t>Forslag til v</w:t>
      </w:r>
      <w:r w:rsidR="009A552D">
        <w:rPr>
          <w:rFonts w:cs="Arial"/>
          <w:i/>
          <w:sz w:val="22"/>
        </w:rPr>
        <w:t>idere proces</w:t>
      </w:r>
    </w:p>
    <w:p w14:paraId="5632F2FA" w14:textId="77777777" w:rsidR="009A552D" w:rsidRPr="009A552D" w:rsidRDefault="009A552D" w:rsidP="00DA7C5A">
      <w:pPr>
        <w:spacing w:after="0"/>
        <w:rPr>
          <w:rFonts w:cs="Arial"/>
          <w:sz w:val="22"/>
        </w:rPr>
      </w:pPr>
    </w:p>
    <w:p w14:paraId="7BA0497E" w14:textId="0F0692F8" w:rsidR="009A552D" w:rsidRDefault="009A552D" w:rsidP="00DA7C5A">
      <w:pPr>
        <w:spacing w:after="0"/>
        <w:rPr>
          <w:rFonts w:cs="Arial"/>
          <w:sz w:val="22"/>
        </w:rPr>
      </w:pPr>
      <w:r>
        <w:rPr>
          <w:rFonts w:cs="Arial"/>
          <w:sz w:val="22"/>
        </w:rPr>
        <w:t>Ensartethed er én af Danmarks Domstoles fire centrale værdier, og domstolenes projekter iværksættes blandt andet med henblik på at understøtte en ensartet behandling af sager ved Danmarks Domstole. De</w:t>
      </w:r>
      <w:r w:rsidR="008E7436">
        <w:rPr>
          <w:rFonts w:cs="Arial"/>
          <w:sz w:val="22"/>
        </w:rPr>
        <w:t>r</w:t>
      </w:r>
      <w:r>
        <w:rPr>
          <w:rFonts w:cs="Arial"/>
          <w:sz w:val="22"/>
        </w:rPr>
        <w:t xml:space="preserve"> </w:t>
      </w:r>
      <w:r w:rsidR="008E7436">
        <w:rPr>
          <w:rFonts w:cs="Arial"/>
          <w:sz w:val="22"/>
        </w:rPr>
        <w:t>d</w:t>
      </w:r>
      <w:r>
        <w:rPr>
          <w:rFonts w:cs="Arial"/>
          <w:sz w:val="22"/>
        </w:rPr>
        <w:t>r</w:t>
      </w:r>
      <w:r w:rsidR="008E7436">
        <w:rPr>
          <w:rFonts w:cs="Arial"/>
          <w:sz w:val="22"/>
        </w:rPr>
        <w:t>øftes</w:t>
      </w:r>
      <w:r>
        <w:rPr>
          <w:rFonts w:cs="Arial"/>
          <w:sz w:val="22"/>
        </w:rPr>
        <w:t xml:space="preserve"> løbende</w:t>
      </w:r>
      <w:r w:rsidR="00467524">
        <w:rPr>
          <w:rFonts w:cs="Arial"/>
          <w:sz w:val="22"/>
        </w:rPr>
        <w:t xml:space="preserve"> forskellige emner </w:t>
      </w:r>
      <w:r w:rsidR="001815D8">
        <w:rPr>
          <w:rFonts w:cs="Arial"/>
          <w:sz w:val="22"/>
        </w:rPr>
        <w:t xml:space="preserve">både internt ved domstolene og med domstolenes brugere </w:t>
      </w:r>
      <w:r w:rsidR="00467524">
        <w:rPr>
          <w:rFonts w:cs="Arial"/>
          <w:sz w:val="22"/>
        </w:rPr>
        <w:t>med henblik på at afdække mulighederne for en ensartet tilgang på tværs af embederne</w:t>
      </w:r>
      <w:r w:rsidR="00EF3E65">
        <w:rPr>
          <w:rFonts w:cs="Arial"/>
          <w:sz w:val="22"/>
        </w:rPr>
        <w:t>.</w:t>
      </w:r>
    </w:p>
    <w:p w14:paraId="4F305D76" w14:textId="77777777" w:rsidR="00587033" w:rsidRDefault="00587033" w:rsidP="00DA7C5A">
      <w:pPr>
        <w:spacing w:after="0"/>
        <w:rPr>
          <w:rFonts w:cs="Arial"/>
          <w:sz w:val="22"/>
        </w:rPr>
      </w:pPr>
    </w:p>
    <w:p w14:paraId="6E0B22B6" w14:textId="77777777" w:rsidR="00B175E2" w:rsidRDefault="00B175E2" w:rsidP="00B175E2">
      <w:pPr>
        <w:spacing w:after="0"/>
        <w:rPr>
          <w:rFonts w:cs="Arial"/>
          <w:sz w:val="22"/>
        </w:rPr>
      </w:pPr>
      <w:r>
        <w:rPr>
          <w:rFonts w:cs="Arial"/>
          <w:sz w:val="22"/>
        </w:rPr>
        <w:t xml:space="preserve">Produktgruppen vurderer, at FinansDanmarks forslag til en forenklet procedure frem til udstedelsen af en skifteattest kan </w:t>
      </w:r>
      <w:r>
        <w:rPr>
          <w:rFonts w:cs="Arial"/>
        </w:rPr>
        <w:t xml:space="preserve">være med til at forbedre retternes skiftesagsbehandling. Produktgruppen vil foreslå, at Bedste Praksis og Domstolsstyrelsens Juraenhed konkret vurderer, hvilke praksis- og/eller lovændringer, som forslaget vil medføre. I forlængelse heraf foreslår produktgruppen, at et eventuelt forslag til en ændret procedure drøftes på forårstræffet for skifteafdelingerne. </w:t>
      </w:r>
    </w:p>
    <w:p w14:paraId="3C3FA4D1" w14:textId="77777777" w:rsidR="00B175E2" w:rsidRDefault="00B175E2">
      <w:pPr>
        <w:spacing w:after="0"/>
        <w:rPr>
          <w:rFonts w:cs="Arial"/>
          <w:sz w:val="22"/>
        </w:rPr>
      </w:pPr>
    </w:p>
    <w:p w14:paraId="0D7E46EC" w14:textId="77777777" w:rsidR="00587033" w:rsidRDefault="00587033" w:rsidP="00DA7C5A">
      <w:pPr>
        <w:spacing w:after="0"/>
        <w:rPr>
          <w:rFonts w:cs="Arial"/>
          <w:sz w:val="22"/>
        </w:rPr>
      </w:pPr>
      <w:r>
        <w:rPr>
          <w:rFonts w:cs="Arial"/>
          <w:sz w:val="22"/>
        </w:rPr>
        <w:t>Domstolsstyrelsen vil undersøge, om der kan udmeldes fælles tekniske standarder eksempelvis for</w:t>
      </w:r>
      <w:r w:rsidR="00B970EF">
        <w:rPr>
          <w:rFonts w:cs="Arial"/>
          <w:sz w:val="22"/>
        </w:rPr>
        <w:t xml:space="preserve"> materiale, som indleveres til retten til brug for digital behandling af sager</w:t>
      </w:r>
      <w:r w:rsidR="00B60F9E">
        <w:rPr>
          <w:rFonts w:cs="Arial"/>
          <w:sz w:val="22"/>
        </w:rPr>
        <w:t>.</w:t>
      </w:r>
    </w:p>
    <w:p w14:paraId="027ECD26" w14:textId="77777777" w:rsidR="00323A25" w:rsidRDefault="00323A25" w:rsidP="00DA7C5A">
      <w:pPr>
        <w:spacing w:after="0"/>
        <w:rPr>
          <w:rFonts w:cs="Arial"/>
          <w:sz w:val="22"/>
        </w:rPr>
      </w:pPr>
    </w:p>
    <w:p w14:paraId="27C4C4BC" w14:textId="370B47B7" w:rsidR="00146536" w:rsidRDefault="002549FA" w:rsidP="00DA7C5A">
      <w:pPr>
        <w:spacing w:after="0"/>
        <w:rPr>
          <w:rFonts w:cs="Arial"/>
          <w:sz w:val="22"/>
        </w:rPr>
      </w:pPr>
      <w:r>
        <w:rPr>
          <w:rFonts w:cs="Arial"/>
          <w:sz w:val="22"/>
        </w:rPr>
        <w:lastRenderedPageBreak/>
        <w:t>Produktgruppen foreslår, at det videre arbejde med de øvrige initiativer forankres henholdsvis hos Bedste Praksis-konsulenterne og i Dommerforening</w:t>
      </w:r>
      <w:r w:rsidR="00185981">
        <w:rPr>
          <w:rFonts w:cs="Arial"/>
          <w:sz w:val="22"/>
        </w:rPr>
        <w:t>en</w:t>
      </w:r>
      <w:r>
        <w:rPr>
          <w:rFonts w:cs="Arial"/>
          <w:sz w:val="22"/>
        </w:rPr>
        <w:t xml:space="preserve">. </w:t>
      </w:r>
      <w:r w:rsidR="00587033">
        <w:rPr>
          <w:rFonts w:cs="Arial"/>
          <w:sz w:val="22"/>
        </w:rPr>
        <w:t>Domstolsstyrelsen samarbejder løbende med retterne og Bedste Praksis om at udarbejde vejledninger til forskellige sagsområder. Ligeledes har Domstolsstyrelsen</w:t>
      </w:r>
      <w:r w:rsidR="007417AE">
        <w:rPr>
          <w:rFonts w:cs="Arial"/>
          <w:sz w:val="22"/>
        </w:rPr>
        <w:t xml:space="preserve"> en</w:t>
      </w:r>
      <w:r w:rsidR="00587033">
        <w:rPr>
          <w:rFonts w:cs="Arial"/>
          <w:sz w:val="22"/>
        </w:rPr>
        <w:t xml:space="preserve"> dom</w:t>
      </w:r>
      <w:r w:rsidR="00EF26BE">
        <w:rPr>
          <w:rFonts w:cs="Arial"/>
          <w:sz w:val="22"/>
        </w:rPr>
        <w:t>mer</w:t>
      </w:r>
      <w:r w:rsidR="00185981">
        <w:rPr>
          <w:rFonts w:cs="Arial"/>
          <w:sz w:val="22"/>
        </w:rPr>
        <w:t xml:space="preserve"> indlånt</w:t>
      </w:r>
      <w:r w:rsidR="00EF26BE">
        <w:rPr>
          <w:rFonts w:cs="Arial"/>
          <w:sz w:val="22"/>
        </w:rPr>
        <w:t xml:space="preserve"> til at understøtte </w:t>
      </w:r>
      <w:r w:rsidR="00587033">
        <w:rPr>
          <w:rFonts w:cs="Arial"/>
          <w:sz w:val="22"/>
        </w:rPr>
        <w:t>Danmarks Domstole</w:t>
      </w:r>
      <w:r w:rsidR="00EF26BE">
        <w:rPr>
          <w:rFonts w:cs="Arial"/>
          <w:sz w:val="22"/>
        </w:rPr>
        <w:t>s videndelinggrupper</w:t>
      </w:r>
      <w:r w:rsidR="00323A25">
        <w:rPr>
          <w:rFonts w:cs="Arial"/>
          <w:sz w:val="22"/>
        </w:rPr>
        <w:t>, som ligeledes kan</w:t>
      </w:r>
      <w:r w:rsidR="00B16B27">
        <w:rPr>
          <w:rFonts w:cs="Arial"/>
          <w:sz w:val="22"/>
        </w:rPr>
        <w:t xml:space="preserve"> komme med forslag til</w:t>
      </w:r>
      <w:r w:rsidR="00323A25">
        <w:rPr>
          <w:rFonts w:cs="Arial"/>
          <w:sz w:val="22"/>
        </w:rPr>
        <w:t xml:space="preserve"> eksempelvis nye vejledninger samt proces- eller praksisændringer, der kan understøtte en større ensartethed på tværs af domstolene. </w:t>
      </w:r>
    </w:p>
    <w:p w14:paraId="42BC1EF0" w14:textId="77777777" w:rsidR="00146536" w:rsidRDefault="00146536" w:rsidP="00DA7C5A">
      <w:pPr>
        <w:spacing w:after="0"/>
        <w:rPr>
          <w:rFonts w:cs="Arial"/>
          <w:sz w:val="22"/>
        </w:rPr>
      </w:pPr>
    </w:p>
    <w:p w14:paraId="45FBB155" w14:textId="6DE5EC2C" w:rsidR="009A552D" w:rsidRDefault="00146536" w:rsidP="00DA7C5A">
      <w:pPr>
        <w:spacing w:after="0"/>
        <w:rPr>
          <w:rFonts w:cs="Arial"/>
          <w:sz w:val="22"/>
          <w:u w:val="single"/>
        </w:rPr>
      </w:pPr>
      <w:r>
        <w:rPr>
          <w:rFonts w:cs="Arial"/>
          <w:sz w:val="22"/>
        </w:rPr>
        <w:t>Da domstolenes sagsbehandling i høj grad beror på den enkelte dommers sagshåndtering, er Dommerforeningens møder en god anledning til</w:t>
      </w:r>
      <w:r w:rsidR="00185981">
        <w:rPr>
          <w:rFonts w:cs="Arial"/>
          <w:sz w:val="22"/>
        </w:rPr>
        <w:t xml:space="preserve"> </w:t>
      </w:r>
      <w:r>
        <w:rPr>
          <w:rFonts w:cs="Arial"/>
          <w:sz w:val="22"/>
        </w:rPr>
        <w:t>at drøfte mulighederne for en fælles tilgang på tværs af domstolene for at arbejde for større ensartethed i sagsbehandlingen.</w:t>
      </w:r>
      <w:r w:rsidR="00C76059">
        <w:rPr>
          <w:rFonts w:cs="Arial"/>
          <w:sz w:val="22"/>
        </w:rPr>
        <w:t xml:space="preserve"> Selvom initiativet til udarbejdelsen af vejledninger</w:t>
      </w:r>
      <w:r w:rsidR="009D61B8">
        <w:rPr>
          <w:rFonts w:cs="Arial"/>
          <w:sz w:val="22"/>
        </w:rPr>
        <w:t xml:space="preserve"> mv.</w:t>
      </w:r>
      <w:r w:rsidR="00C76059">
        <w:rPr>
          <w:rFonts w:cs="Arial"/>
          <w:sz w:val="22"/>
        </w:rPr>
        <w:t xml:space="preserve"> kommer fra videndelinggrupperne, vil Dommerforeningens møder være vigtige fora, hvor </w:t>
      </w:r>
      <w:r w:rsidR="008D730C">
        <w:rPr>
          <w:rFonts w:cs="Arial"/>
          <w:sz w:val="22"/>
        </w:rPr>
        <w:t xml:space="preserve">en </w:t>
      </w:r>
      <w:r w:rsidR="00C76059">
        <w:rPr>
          <w:rFonts w:cs="Arial"/>
          <w:sz w:val="22"/>
        </w:rPr>
        <w:t xml:space="preserve">idé </w:t>
      </w:r>
      <w:r w:rsidR="008D730C">
        <w:rPr>
          <w:rFonts w:cs="Arial"/>
          <w:sz w:val="22"/>
        </w:rPr>
        <w:t>eller et</w:t>
      </w:r>
      <w:r w:rsidR="00C76059">
        <w:rPr>
          <w:rFonts w:cs="Arial"/>
          <w:sz w:val="22"/>
        </w:rPr>
        <w:t xml:space="preserve"> udkast til </w:t>
      </w:r>
      <w:r w:rsidR="00833D1A">
        <w:rPr>
          <w:rFonts w:cs="Arial"/>
          <w:sz w:val="22"/>
        </w:rPr>
        <w:t xml:space="preserve">en </w:t>
      </w:r>
      <w:r w:rsidR="00C76059">
        <w:rPr>
          <w:rFonts w:cs="Arial"/>
          <w:sz w:val="22"/>
        </w:rPr>
        <w:t xml:space="preserve">vejledning løbende drøftes for at give input til </w:t>
      </w:r>
      <w:r w:rsidR="00AF3E19">
        <w:rPr>
          <w:rFonts w:cs="Arial"/>
          <w:sz w:val="22"/>
        </w:rPr>
        <w:t xml:space="preserve">eksempelvis </w:t>
      </w:r>
      <w:r w:rsidR="00C76059">
        <w:rPr>
          <w:rFonts w:cs="Arial"/>
          <w:sz w:val="22"/>
        </w:rPr>
        <w:t>videndelinggruppens arbejde med at skrive vejledningen.</w:t>
      </w:r>
      <w:r>
        <w:rPr>
          <w:rFonts w:cs="Arial"/>
          <w:sz w:val="22"/>
        </w:rPr>
        <w:t xml:space="preserve"> Ligeledes vil </w:t>
      </w:r>
      <w:r w:rsidR="006B00E7" w:rsidRPr="00947DEA">
        <w:rPr>
          <w:rFonts w:cs="Arial"/>
          <w:sz w:val="22"/>
        </w:rPr>
        <w:t>Øst-Vest-møderne, Østdommermøde, Jysk</w:t>
      </w:r>
      <w:r w:rsidR="00444222">
        <w:rPr>
          <w:rFonts w:cs="Arial"/>
          <w:sz w:val="22"/>
        </w:rPr>
        <w:t xml:space="preserve"> D</w:t>
      </w:r>
      <w:r w:rsidR="006B00E7" w:rsidRPr="00947DEA">
        <w:rPr>
          <w:rFonts w:cs="Arial"/>
          <w:sz w:val="22"/>
        </w:rPr>
        <w:t>ommermøde og områdemøderne</w:t>
      </w:r>
      <w:r w:rsidR="00C76059">
        <w:rPr>
          <w:rFonts w:cs="Arial"/>
          <w:sz w:val="22"/>
        </w:rPr>
        <w:t xml:space="preserve"> foruden de lokale drøftelser </w:t>
      </w:r>
      <w:r w:rsidR="009B5EC5">
        <w:rPr>
          <w:rFonts w:cs="Arial"/>
          <w:sz w:val="22"/>
        </w:rPr>
        <w:t xml:space="preserve">ved retterne </w:t>
      </w:r>
      <w:r w:rsidR="00C76059">
        <w:rPr>
          <w:rFonts w:cs="Arial"/>
          <w:sz w:val="22"/>
        </w:rPr>
        <w:t>være vigtige til at</w:t>
      </w:r>
      <w:r w:rsidR="00BC3E68">
        <w:rPr>
          <w:rFonts w:cs="Arial"/>
          <w:sz w:val="22"/>
        </w:rPr>
        <w:t xml:space="preserve"> sikre en god forankring</w:t>
      </w:r>
      <w:r w:rsidR="00C76059">
        <w:rPr>
          <w:rFonts w:cs="Arial"/>
          <w:sz w:val="22"/>
        </w:rPr>
        <w:t xml:space="preserve"> af </w:t>
      </w:r>
      <w:r w:rsidR="00C27555">
        <w:rPr>
          <w:rFonts w:cs="Arial"/>
          <w:sz w:val="22"/>
        </w:rPr>
        <w:t>en</w:t>
      </w:r>
      <w:r w:rsidR="00C76059">
        <w:rPr>
          <w:rFonts w:cs="Arial"/>
          <w:sz w:val="22"/>
        </w:rPr>
        <w:t xml:space="preserve"> vejledning</w:t>
      </w:r>
      <w:r w:rsidR="00BC3E68">
        <w:rPr>
          <w:rFonts w:cs="Arial"/>
          <w:sz w:val="22"/>
        </w:rPr>
        <w:t xml:space="preserve"> blandt dommerne.</w:t>
      </w:r>
      <w:r w:rsidR="002549FA">
        <w:rPr>
          <w:rFonts w:cs="Arial"/>
          <w:sz w:val="22"/>
        </w:rPr>
        <w:t xml:space="preserve"> </w:t>
      </w:r>
    </w:p>
    <w:p w14:paraId="63CEE30B" w14:textId="77777777" w:rsidR="009A552D" w:rsidRDefault="009A552D" w:rsidP="00DA7C5A">
      <w:pPr>
        <w:spacing w:after="0"/>
        <w:rPr>
          <w:rFonts w:cs="Arial"/>
          <w:sz w:val="22"/>
          <w:u w:val="single"/>
        </w:rPr>
      </w:pPr>
    </w:p>
    <w:p w14:paraId="12E8FCAF" w14:textId="77777777" w:rsidR="006E1A66" w:rsidRDefault="006E1A66" w:rsidP="00DA7C5A">
      <w:pPr>
        <w:spacing w:after="0"/>
        <w:rPr>
          <w:rFonts w:cs="Arial"/>
          <w:sz w:val="22"/>
          <w:u w:val="single"/>
        </w:rPr>
      </w:pPr>
    </w:p>
    <w:p w14:paraId="0F327754" w14:textId="77777777" w:rsidR="00F3156E" w:rsidRPr="00D21073" w:rsidRDefault="001548A5" w:rsidP="00DA7C5A">
      <w:pPr>
        <w:spacing w:after="0"/>
        <w:rPr>
          <w:rFonts w:cs="Arial"/>
          <w:sz w:val="22"/>
        </w:rPr>
      </w:pPr>
      <w:r>
        <w:rPr>
          <w:rFonts w:cs="Arial"/>
          <w:sz w:val="22"/>
          <w:u w:val="single"/>
        </w:rPr>
        <w:t xml:space="preserve">2. </w:t>
      </w:r>
      <w:r w:rsidR="00F3156E" w:rsidRPr="00D21073">
        <w:rPr>
          <w:rFonts w:cs="Arial"/>
          <w:sz w:val="22"/>
          <w:u w:val="single"/>
        </w:rPr>
        <w:t>Småsagsproces</w:t>
      </w:r>
    </w:p>
    <w:p w14:paraId="1E189C5F" w14:textId="77777777" w:rsidR="00F3156E" w:rsidRPr="00D21073" w:rsidRDefault="00F3156E" w:rsidP="00DA7C5A">
      <w:pPr>
        <w:spacing w:after="0"/>
        <w:rPr>
          <w:rFonts w:cs="Arial"/>
          <w:sz w:val="22"/>
        </w:rPr>
      </w:pPr>
    </w:p>
    <w:p w14:paraId="3133AD99" w14:textId="77777777" w:rsidR="002C4C2A" w:rsidRDefault="00F3156E" w:rsidP="00DA7C5A">
      <w:pPr>
        <w:spacing w:after="0"/>
        <w:rPr>
          <w:rFonts w:cs="Arial"/>
          <w:sz w:val="22"/>
        </w:rPr>
      </w:pPr>
      <w:r w:rsidRPr="00D21073">
        <w:rPr>
          <w:rFonts w:cs="Arial"/>
          <w:sz w:val="22"/>
        </w:rPr>
        <w:t xml:space="preserve">Domstolenes småsagsproces </w:t>
      </w:r>
      <w:r w:rsidR="008224D9">
        <w:rPr>
          <w:rFonts w:cs="Arial"/>
          <w:sz w:val="22"/>
        </w:rPr>
        <w:t xml:space="preserve">er væsentlig </w:t>
      </w:r>
      <w:r w:rsidR="00B80163">
        <w:rPr>
          <w:rFonts w:cs="Arial"/>
          <w:sz w:val="22"/>
        </w:rPr>
        <w:t>for at give borgerne et tilbud</w:t>
      </w:r>
      <w:r w:rsidRPr="00D21073">
        <w:rPr>
          <w:rFonts w:cs="Arial"/>
          <w:sz w:val="22"/>
        </w:rPr>
        <w:t xml:space="preserve"> om at få </w:t>
      </w:r>
      <w:r w:rsidR="00615DE3">
        <w:rPr>
          <w:rFonts w:cs="Arial"/>
          <w:sz w:val="22"/>
        </w:rPr>
        <w:t>afgjort</w:t>
      </w:r>
      <w:r w:rsidR="00495435">
        <w:rPr>
          <w:rFonts w:cs="Arial"/>
          <w:sz w:val="22"/>
        </w:rPr>
        <w:t xml:space="preserve"> mindre sager</w:t>
      </w:r>
      <w:r w:rsidR="00615DE3">
        <w:rPr>
          <w:rFonts w:cs="Arial"/>
          <w:sz w:val="22"/>
        </w:rPr>
        <w:t xml:space="preserve"> efter en simpel og billig proces ved retten</w:t>
      </w:r>
      <w:r w:rsidR="008224D9">
        <w:rPr>
          <w:rFonts w:cs="Arial"/>
          <w:sz w:val="22"/>
        </w:rPr>
        <w:t>.</w:t>
      </w:r>
      <w:r w:rsidR="00615DE3">
        <w:rPr>
          <w:rFonts w:cs="Arial"/>
          <w:sz w:val="22"/>
        </w:rPr>
        <w:t xml:space="preserve"> </w:t>
      </w:r>
      <w:r w:rsidR="002C4C2A">
        <w:rPr>
          <w:rFonts w:cs="Arial"/>
          <w:sz w:val="22"/>
        </w:rPr>
        <w:t xml:space="preserve">Nye teknologiske værktøjer muliggør rådgivning, generering af udkast til afgørelser og mediation via internettet, som domstolene kan gøre brug af til at vejlede borgerne, inden en sag anlægges. Det vil betyde, at nogle sager løses, inden de kommer til domstolene, men det kan også hjælpe borgerne og gøre småsagsprocessen lettere at </w:t>
      </w:r>
      <w:r w:rsidR="004163CE">
        <w:rPr>
          <w:rFonts w:cs="Arial"/>
          <w:sz w:val="22"/>
        </w:rPr>
        <w:t>gøre brug af</w:t>
      </w:r>
      <w:r w:rsidR="002C4C2A">
        <w:rPr>
          <w:rFonts w:cs="Arial"/>
          <w:sz w:val="22"/>
        </w:rPr>
        <w:t xml:space="preserve">. </w:t>
      </w:r>
    </w:p>
    <w:p w14:paraId="26978C31" w14:textId="77777777" w:rsidR="002C4C2A" w:rsidRDefault="002C4C2A" w:rsidP="00DA7C5A">
      <w:pPr>
        <w:spacing w:after="0"/>
        <w:rPr>
          <w:rFonts w:cs="Arial"/>
          <w:sz w:val="22"/>
        </w:rPr>
      </w:pPr>
    </w:p>
    <w:p w14:paraId="1EEA03D4" w14:textId="72FFF191" w:rsidR="00411A8C" w:rsidRDefault="00615DE3" w:rsidP="00DA7C5A">
      <w:pPr>
        <w:spacing w:after="0"/>
        <w:rPr>
          <w:rFonts w:cs="Arial"/>
          <w:sz w:val="22"/>
        </w:rPr>
      </w:pPr>
      <w:r>
        <w:rPr>
          <w:rFonts w:cs="Arial"/>
          <w:sz w:val="22"/>
        </w:rPr>
        <w:t>Det er væsentligt at sikre, at der ikke efterlades et retstomt rum, hvor borgere grundet manglende juridisk kendskab og/eller manglende midler til</w:t>
      </w:r>
      <w:r w:rsidR="00F3156E" w:rsidRPr="00D21073">
        <w:rPr>
          <w:rFonts w:cs="Arial"/>
          <w:sz w:val="22"/>
        </w:rPr>
        <w:t xml:space="preserve"> </w:t>
      </w:r>
      <w:r>
        <w:rPr>
          <w:rFonts w:cs="Arial"/>
          <w:sz w:val="22"/>
        </w:rPr>
        <w:t>advokatbistand ikke kan få afgjort deres</w:t>
      </w:r>
      <w:r w:rsidR="00426A16">
        <w:rPr>
          <w:rFonts w:cs="Arial"/>
          <w:sz w:val="22"/>
        </w:rPr>
        <w:t xml:space="preserve"> mindre</w:t>
      </w:r>
      <w:r>
        <w:rPr>
          <w:rFonts w:cs="Arial"/>
          <w:sz w:val="22"/>
        </w:rPr>
        <w:t xml:space="preserve"> sager ved retten. </w:t>
      </w:r>
      <w:r w:rsidR="00F3156E" w:rsidRPr="00D21073">
        <w:rPr>
          <w:rFonts w:cs="Arial"/>
          <w:sz w:val="22"/>
        </w:rPr>
        <w:t xml:space="preserve">Småsagsprocessen skal </w:t>
      </w:r>
      <w:r>
        <w:rPr>
          <w:rFonts w:cs="Arial"/>
          <w:sz w:val="22"/>
        </w:rPr>
        <w:t xml:space="preserve">derfor </w:t>
      </w:r>
      <w:r w:rsidR="00411A8C" w:rsidRPr="00D21073">
        <w:rPr>
          <w:rFonts w:cs="Arial"/>
          <w:sz w:val="22"/>
        </w:rPr>
        <w:t>være let</w:t>
      </w:r>
      <w:r w:rsidR="003E51A2">
        <w:rPr>
          <w:rFonts w:cs="Arial"/>
          <w:sz w:val="22"/>
        </w:rPr>
        <w:t xml:space="preserve"> </w:t>
      </w:r>
      <w:r w:rsidR="00411A8C" w:rsidRPr="00D21073">
        <w:rPr>
          <w:rFonts w:cs="Arial"/>
          <w:sz w:val="22"/>
        </w:rPr>
        <w:t xml:space="preserve">tilgængelig for alle borgere, der har behov for at få løst mindre konflikter ved domstolene. </w:t>
      </w:r>
    </w:p>
    <w:p w14:paraId="5FE34D1F" w14:textId="77777777" w:rsidR="00323A25" w:rsidRPr="00D21073" w:rsidRDefault="00323A25" w:rsidP="00DA7C5A">
      <w:pPr>
        <w:spacing w:after="0"/>
        <w:rPr>
          <w:rFonts w:cs="Arial"/>
          <w:sz w:val="22"/>
        </w:rPr>
      </w:pPr>
    </w:p>
    <w:p w14:paraId="5AFF26F6" w14:textId="77777777" w:rsidR="00411A8C" w:rsidRPr="00D21073" w:rsidRDefault="00411A8C" w:rsidP="00411A8C">
      <w:pPr>
        <w:spacing w:after="0"/>
        <w:rPr>
          <w:rFonts w:cs="Arial"/>
          <w:sz w:val="22"/>
        </w:rPr>
      </w:pPr>
      <w:r w:rsidRPr="00D21073">
        <w:rPr>
          <w:rFonts w:cs="Arial"/>
          <w:i/>
          <w:sz w:val="22"/>
        </w:rPr>
        <w:t xml:space="preserve">Konkrete forslag </w:t>
      </w:r>
    </w:p>
    <w:p w14:paraId="0986953F" w14:textId="7593120B" w:rsidR="00AD5E89" w:rsidRDefault="00411A8C" w:rsidP="00411A8C">
      <w:pPr>
        <w:pStyle w:val="Listeafsnit"/>
        <w:numPr>
          <w:ilvl w:val="0"/>
          <w:numId w:val="5"/>
        </w:numPr>
        <w:rPr>
          <w:rFonts w:ascii="Arial" w:hAnsi="Arial" w:cs="Arial"/>
        </w:rPr>
      </w:pPr>
      <w:r w:rsidRPr="00D21073">
        <w:rPr>
          <w:rFonts w:ascii="Arial" w:hAnsi="Arial" w:cs="Arial"/>
        </w:rPr>
        <w:t>Domstolene</w:t>
      </w:r>
      <w:r w:rsidR="00154C44">
        <w:rPr>
          <w:rFonts w:ascii="Arial" w:hAnsi="Arial" w:cs="Arial"/>
        </w:rPr>
        <w:t>s</w:t>
      </w:r>
      <w:r w:rsidRPr="00D21073">
        <w:rPr>
          <w:rFonts w:ascii="Arial" w:hAnsi="Arial" w:cs="Arial"/>
        </w:rPr>
        <w:t xml:space="preserve"> eget informationsmateriale</w:t>
      </w:r>
      <w:r w:rsidR="00154C44">
        <w:rPr>
          <w:rFonts w:ascii="Arial" w:hAnsi="Arial" w:cs="Arial"/>
        </w:rPr>
        <w:t xml:space="preserve"> skal være</w:t>
      </w:r>
      <w:r w:rsidR="00FD013F">
        <w:rPr>
          <w:rFonts w:ascii="Arial" w:hAnsi="Arial" w:cs="Arial"/>
        </w:rPr>
        <w:t xml:space="preserve"> overskueligt,</w:t>
      </w:r>
      <w:r w:rsidR="00154C44">
        <w:rPr>
          <w:rFonts w:ascii="Arial" w:hAnsi="Arial" w:cs="Arial"/>
        </w:rPr>
        <w:t xml:space="preserve"> kortfattet og indeholde</w:t>
      </w:r>
      <w:r w:rsidRPr="00D21073">
        <w:rPr>
          <w:rFonts w:ascii="Arial" w:hAnsi="Arial" w:cs="Arial"/>
        </w:rPr>
        <w:t xml:space="preserve"> </w:t>
      </w:r>
      <w:r w:rsidR="003125B2">
        <w:rPr>
          <w:rFonts w:ascii="Arial" w:hAnsi="Arial" w:cs="Arial"/>
        </w:rPr>
        <w:t>let</w:t>
      </w:r>
      <w:r w:rsidR="00BC6970">
        <w:rPr>
          <w:rFonts w:ascii="Arial" w:hAnsi="Arial" w:cs="Arial"/>
        </w:rPr>
        <w:t xml:space="preserve"> </w:t>
      </w:r>
      <w:r w:rsidR="003125B2">
        <w:rPr>
          <w:rFonts w:ascii="Arial" w:hAnsi="Arial" w:cs="Arial"/>
        </w:rPr>
        <w:t>tilgængelig</w:t>
      </w:r>
      <w:r w:rsidRPr="00D21073">
        <w:rPr>
          <w:rFonts w:ascii="Arial" w:hAnsi="Arial" w:cs="Arial"/>
        </w:rPr>
        <w:t xml:space="preserve"> information om småsagsprocessen i et ikke-juridisk sprog</w:t>
      </w:r>
      <w:r w:rsidR="004B2BD9">
        <w:rPr>
          <w:rFonts w:ascii="Arial" w:hAnsi="Arial" w:cs="Arial"/>
        </w:rPr>
        <w:t xml:space="preserve">, </w:t>
      </w:r>
      <w:r w:rsidR="004B2BD9" w:rsidRPr="00D21073">
        <w:rPr>
          <w:rFonts w:ascii="Arial" w:hAnsi="Arial" w:cs="Arial"/>
        </w:rPr>
        <w:t>så det bliver klart, hvilken hjælp borgerne kan få i retten</w:t>
      </w:r>
      <w:r w:rsidR="00C02E48">
        <w:rPr>
          <w:rFonts w:ascii="Arial" w:hAnsi="Arial" w:cs="Arial"/>
        </w:rPr>
        <w:t>.</w:t>
      </w:r>
      <w:r w:rsidR="004B2BD9">
        <w:rPr>
          <w:rFonts w:ascii="Arial" w:hAnsi="Arial" w:cs="Arial"/>
        </w:rPr>
        <w:t xml:space="preserve"> </w:t>
      </w:r>
      <w:r w:rsidR="00154C44">
        <w:rPr>
          <w:rFonts w:ascii="Arial" w:hAnsi="Arial" w:cs="Arial"/>
        </w:rPr>
        <w:t xml:space="preserve">Beskrivelsen af </w:t>
      </w:r>
      <w:hyperlink r:id="rId9" w:history="1">
        <w:r w:rsidR="00154C44" w:rsidRPr="00154C44">
          <w:rPr>
            <w:rStyle w:val="Hyperlink"/>
            <w:rFonts w:ascii="Arial" w:hAnsi="Arial" w:cs="Arial"/>
          </w:rPr>
          <w:t>den norske småsagsproces</w:t>
        </w:r>
      </w:hyperlink>
      <w:r w:rsidR="00154C44">
        <w:rPr>
          <w:rFonts w:ascii="Arial" w:hAnsi="Arial" w:cs="Arial"/>
        </w:rPr>
        <w:t xml:space="preserve"> kan tjene til inspiration</w:t>
      </w:r>
      <w:r w:rsidR="00D96B08">
        <w:rPr>
          <w:rFonts w:ascii="Arial" w:hAnsi="Arial" w:cs="Arial"/>
        </w:rPr>
        <w:t xml:space="preserve"> i udformningen af nyt informationsmateriale om småsagsprocessen</w:t>
      </w:r>
      <w:r w:rsidR="00154C44">
        <w:rPr>
          <w:rFonts w:ascii="Arial" w:hAnsi="Arial" w:cs="Arial"/>
        </w:rPr>
        <w:t>.</w:t>
      </w:r>
    </w:p>
    <w:p w14:paraId="0B183841" w14:textId="77777777" w:rsidR="00C02E48" w:rsidRDefault="00AD5E89" w:rsidP="00411A8C">
      <w:pPr>
        <w:pStyle w:val="Listeafsnit"/>
        <w:numPr>
          <w:ilvl w:val="0"/>
          <w:numId w:val="5"/>
        </w:numPr>
        <w:rPr>
          <w:rFonts w:ascii="Arial" w:hAnsi="Arial" w:cs="Arial"/>
        </w:rPr>
      </w:pPr>
      <w:r>
        <w:rPr>
          <w:rFonts w:ascii="Arial" w:hAnsi="Arial" w:cs="Arial"/>
        </w:rPr>
        <w:t xml:space="preserve">Det skal fremgå klart af det tilgængelige informationsmateriale, at processen er udformet med henblik på, at parterne møder uden advokat, og at domstolene i disse sager er vant til at vejlede parterne og håndtere sagen, uagtet om man har advokat eller ej. </w:t>
      </w:r>
    </w:p>
    <w:p w14:paraId="3B32C917" w14:textId="3BB6DC9A" w:rsidR="00411A8C" w:rsidRPr="00D21073" w:rsidRDefault="00C02E48" w:rsidP="00411A8C">
      <w:pPr>
        <w:pStyle w:val="Listeafsnit"/>
        <w:numPr>
          <w:ilvl w:val="0"/>
          <w:numId w:val="5"/>
        </w:numPr>
        <w:rPr>
          <w:rFonts w:ascii="Arial" w:hAnsi="Arial" w:cs="Arial"/>
        </w:rPr>
      </w:pPr>
      <w:r>
        <w:rPr>
          <w:rFonts w:ascii="Arial" w:hAnsi="Arial" w:cs="Arial"/>
        </w:rPr>
        <w:t>Materialet kan eventuelt tilpasses forskellige</w:t>
      </w:r>
      <w:r w:rsidR="005A6B0C">
        <w:rPr>
          <w:rFonts w:ascii="Arial" w:hAnsi="Arial" w:cs="Arial"/>
        </w:rPr>
        <w:t xml:space="preserve"> typiske</w:t>
      </w:r>
      <w:r>
        <w:rPr>
          <w:rFonts w:ascii="Arial" w:hAnsi="Arial" w:cs="Arial"/>
        </w:rPr>
        <w:t xml:space="preserve"> brugergrupper (</w:t>
      </w:r>
      <w:r w:rsidR="00994BF8">
        <w:rPr>
          <w:rFonts w:ascii="Arial" w:hAnsi="Arial" w:cs="Arial"/>
        </w:rPr>
        <w:t xml:space="preserve">små </w:t>
      </w:r>
      <w:r>
        <w:rPr>
          <w:rFonts w:ascii="Arial" w:hAnsi="Arial" w:cs="Arial"/>
        </w:rPr>
        <w:t>virksomheder, lejere</w:t>
      </w:r>
      <w:r w:rsidR="007D258B">
        <w:rPr>
          <w:rFonts w:ascii="Arial" w:hAnsi="Arial" w:cs="Arial"/>
        </w:rPr>
        <w:t xml:space="preserve"> mv.</w:t>
      </w:r>
      <w:r>
        <w:rPr>
          <w:rFonts w:ascii="Arial" w:hAnsi="Arial" w:cs="Arial"/>
        </w:rPr>
        <w:t xml:space="preserve">). Således kan borgerne afhængigt af sagstypen </w:t>
      </w:r>
      <w:r w:rsidR="005C4F07">
        <w:rPr>
          <w:rFonts w:ascii="Arial" w:hAnsi="Arial" w:cs="Arial"/>
        </w:rPr>
        <w:t xml:space="preserve">få information relevant for netop deres sag samt </w:t>
      </w:r>
      <w:r>
        <w:rPr>
          <w:rFonts w:ascii="Arial" w:hAnsi="Arial" w:cs="Arial"/>
        </w:rPr>
        <w:t>om</w:t>
      </w:r>
      <w:r w:rsidR="00AD5E89">
        <w:rPr>
          <w:rFonts w:ascii="Arial" w:hAnsi="Arial" w:cs="Arial"/>
        </w:rPr>
        <w:t xml:space="preserve">, hvilke rettigheder </w:t>
      </w:r>
      <w:r w:rsidR="004C71A8">
        <w:rPr>
          <w:rFonts w:ascii="Arial" w:hAnsi="Arial" w:cs="Arial"/>
        </w:rPr>
        <w:t xml:space="preserve">de </w:t>
      </w:r>
      <w:r w:rsidR="00AD5E89">
        <w:rPr>
          <w:rFonts w:ascii="Arial" w:hAnsi="Arial" w:cs="Arial"/>
        </w:rPr>
        <w:t xml:space="preserve">har eksempelvis til medvirken af boligretsdommere i boligsager. </w:t>
      </w:r>
    </w:p>
    <w:p w14:paraId="26594907" w14:textId="77777777" w:rsidR="00411A8C" w:rsidRPr="00D21073" w:rsidRDefault="00411A8C" w:rsidP="00411A8C">
      <w:pPr>
        <w:pStyle w:val="Listeafsnit"/>
        <w:numPr>
          <w:ilvl w:val="0"/>
          <w:numId w:val="5"/>
        </w:numPr>
        <w:rPr>
          <w:rFonts w:ascii="Arial" w:hAnsi="Arial" w:cs="Arial"/>
        </w:rPr>
      </w:pPr>
      <w:r w:rsidRPr="00D21073">
        <w:rPr>
          <w:rFonts w:ascii="Arial" w:hAnsi="Arial" w:cs="Arial"/>
        </w:rPr>
        <w:t xml:space="preserve">Domstolene kan i samarbejde med erhvervsorganisationerne udbrede kendskabet til småsagsprocessen eksempelvis ved at holde informationsmøder </w:t>
      </w:r>
      <w:r w:rsidR="00E40C19">
        <w:rPr>
          <w:rFonts w:ascii="Arial" w:hAnsi="Arial" w:cs="Arial"/>
        </w:rPr>
        <w:t xml:space="preserve">i retten </w:t>
      </w:r>
      <w:r w:rsidRPr="00D21073">
        <w:rPr>
          <w:rFonts w:ascii="Arial" w:hAnsi="Arial" w:cs="Arial"/>
        </w:rPr>
        <w:t>for de lokale erhverv</w:t>
      </w:r>
      <w:r w:rsidR="00784DE5">
        <w:rPr>
          <w:rFonts w:ascii="Arial" w:hAnsi="Arial" w:cs="Arial"/>
        </w:rPr>
        <w:t>sdrivende</w:t>
      </w:r>
      <w:r w:rsidR="00E40C19">
        <w:rPr>
          <w:rFonts w:ascii="Arial" w:hAnsi="Arial" w:cs="Arial"/>
        </w:rPr>
        <w:t xml:space="preserve"> </w:t>
      </w:r>
      <w:r w:rsidRPr="00D21073">
        <w:rPr>
          <w:rFonts w:ascii="Arial" w:hAnsi="Arial" w:cs="Arial"/>
        </w:rPr>
        <w:t xml:space="preserve">eller </w:t>
      </w:r>
      <w:r w:rsidR="00E40C19">
        <w:rPr>
          <w:rFonts w:ascii="Arial" w:hAnsi="Arial" w:cs="Arial"/>
        </w:rPr>
        <w:t xml:space="preserve">ved at </w:t>
      </w:r>
      <w:r w:rsidRPr="00D21073">
        <w:rPr>
          <w:rFonts w:ascii="Arial" w:hAnsi="Arial" w:cs="Arial"/>
        </w:rPr>
        <w:t>besøg</w:t>
      </w:r>
      <w:r w:rsidR="00E40C19">
        <w:rPr>
          <w:rFonts w:ascii="Arial" w:hAnsi="Arial" w:cs="Arial"/>
        </w:rPr>
        <w:t>e</w:t>
      </w:r>
      <w:r w:rsidRPr="00D21073">
        <w:rPr>
          <w:rFonts w:ascii="Arial" w:hAnsi="Arial" w:cs="Arial"/>
        </w:rPr>
        <w:t xml:space="preserve"> erhvervsorganisationernes regionale møder. </w:t>
      </w:r>
    </w:p>
    <w:p w14:paraId="4A536AEF" w14:textId="3119CCE5" w:rsidR="00411A8C" w:rsidRPr="00D21073" w:rsidRDefault="001952A1" w:rsidP="00411A8C">
      <w:pPr>
        <w:pStyle w:val="Listeafsnit"/>
        <w:numPr>
          <w:ilvl w:val="0"/>
          <w:numId w:val="5"/>
        </w:numPr>
        <w:rPr>
          <w:rFonts w:ascii="Arial" w:hAnsi="Arial" w:cs="Arial"/>
        </w:rPr>
      </w:pPr>
      <w:r>
        <w:rPr>
          <w:rFonts w:ascii="Arial" w:hAnsi="Arial" w:cs="Arial"/>
        </w:rPr>
        <w:t>Som led i analysen</w:t>
      </w:r>
      <w:r w:rsidRPr="00D21073">
        <w:rPr>
          <w:rFonts w:ascii="Arial" w:hAnsi="Arial" w:cs="Arial"/>
        </w:rPr>
        <w:t xml:space="preserve"> </w:t>
      </w:r>
      <w:r w:rsidR="00411A8C" w:rsidRPr="00D21073">
        <w:rPr>
          <w:rFonts w:ascii="Arial" w:hAnsi="Arial" w:cs="Arial"/>
        </w:rPr>
        <w:t xml:space="preserve">bør </w:t>
      </w:r>
      <w:r>
        <w:rPr>
          <w:rFonts w:ascii="Arial" w:hAnsi="Arial" w:cs="Arial"/>
        </w:rPr>
        <w:t xml:space="preserve">det </w:t>
      </w:r>
      <w:r w:rsidR="00411A8C" w:rsidRPr="00D21073">
        <w:rPr>
          <w:rFonts w:ascii="Arial" w:hAnsi="Arial" w:cs="Arial"/>
        </w:rPr>
        <w:t>overvejes, om beløbsgrænsen for småsager skal</w:t>
      </w:r>
      <w:r>
        <w:rPr>
          <w:rFonts w:ascii="Arial" w:hAnsi="Arial" w:cs="Arial"/>
        </w:rPr>
        <w:t xml:space="preserve"> ændres</w:t>
      </w:r>
      <w:r w:rsidR="00411A8C" w:rsidRPr="00D21073">
        <w:rPr>
          <w:rFonts w:ascii="Arial" w:hAnsi="Arial" w:cs="Arial"/>
        </w:rPr>
        <w:t>.</w:t>
      </w:r>
      <w:r w:rsidR="0042373D">
        <w:rPr>
          <w:rFonts w:ascii="Arial" w:hAnsi="Arial" w:cs="Arial"/>
        </w:rPr>
        <w:t xml:space="preserve"> I dag er grænsen for småsager 50.000 kr., hvor grænsen til sammenligning er 125.000 kr. i </w:t>
      </w:r>
      <w:r w:rsidR="0042373D">
        <w:rPr>
          <w:rFonts w:ascii="Arial" w:hAnsi="Arial" w:cs="Arial"/>
        </w:rPr>
        <w:lastRenderedPageBreak/>
        <w:t>Norge.</w:t>
      </w:r>
      <w:r w:rsidR="00411A8C" w:rsidRPr="00D21073">
        <w:rPr>
          <w:rFonts w:ascii="Arial" w:hAnsi="Arial" w:cs="Arial"/>
        </w:rPr>
        <w:t xml:space="preserve"> </w:t>
      </w:r>
      <w:r w:rsidR="00F10630" w:rsidRPr="00D21073">
        <w:rPr>
          <w:rFonts w:ascii="Arial" w:hAnsi="Arial" w:cs="Arial"/>
        </w:rPr>
        <w:t>Det er væsentligt, at beløbsgrænse</w:t>
      </w:r>
      <w:r>
        <w:rPr>
          <w:rFonts w:ascii="Arial" w:hAnsi="Arial" w:cs="Arial"/>
        </w:rPr>
        <w:t xml:space="preserve">n </w:t>
      </w:r>
      <w:r w:rsidR="00C135BC">
        <w:rPr>
          <w:rFonts w:ascii="Arial" w:hAnsi="Arial" w:cs="Arial"/>
        </w:rPr>
        <w:t>afstemmes med borgernes behov, så eksempelvis en lav beløbsgrænse</w:t>
      </w:r>
      <w:r w:rsidR="00F10630" w:rsidRPr="00D21073">
        <w:rPr>
          <w:rFonts w:ascii="Arial" w:hAnsi="Arial" w:cs="Arial"/>
        </w:rPr>
        <w:t xml:space="preserve"> ikke bevirker, at </w:t>
      </w:r>
      <w:r w:rsidR="00574354">
        <w:rPr>
          <w:rFonts w:ascii="Arial" w:hAnsi="Arial" w:cs="Arial"/>
        </w:rPr>
        <w:t xml:space="preserve">visse </w:t>
      </w:r>
      <w:r w:rsidR="00F10630" w:rsidRPr="00D21073">
        <w:rPr>
          <w:rFonts w:ascii="Arial" w:hAnsi="Arial" w:cs="Arial"/>
        </w:rPr>
        <w:t xml:space="preserve">sager </w:t>
      </w:r>
      <w:r w:rsidR="00C135BC">
        <w:rPr>
          <w:rFonts w:ascii="Arial" w:hAnsi="Arial" w:cs="Arial"/>
        </w:rPr>
        <w:t>aldrig</w:t>
      </w:r>
      <w:r w:rsidR="00C135BC" w:rsidRPr="00D21073">
        <w:rPr>
          <w:rFonts w:ascii="Arial" w:hAnsi="Arial" w:cs="Arial"/>
        </w:rPr>
        <w:t xml:space="preserve"> </w:t>
      </w:r>
      <w:r w:rsidR="00F10630" w:rsidRPr="00D21073">
        <w:rPr>
          <w:rFonts w:ascii="Arial" w:hAnsi="Arial" w:cs="Arial"/>
        </w:rPr>
        <w:t>kommer for retten</w:t>
      </w:r>
      <w:r w:rsidR="0088132A">
        <w:rPr>
          <w:rFonts w:ascii="Arial" w:hAnsi="Arial" w:cs="Arial"/>
        </w:rPr>
        <w:t xml:space="preserve">, fordi </w:t>
      </w:r>
      <w:r w:rsidR="004938F9">
        <w:rPr>
          <w:rFonts w:ascii="Arial" w:hAnsi="Arial" w:cs="Arial"/>
        </w:rPr>
        <w:t xml:space="preserve">småsagsprocessen ikke kan anvendes, og </w:t>
      </w:r>
      <w:r w:rsidR="0088132A">
        <w:rPr>
          <w:rFonts w:ascii="Arial" w:hAnsi="Arial" w:cs="Arial"/>
        </w:rPr>
        <w:t>omkostningerne til advokat bliver for store</w:t>
      </w:r>
      <w:r w:rsidR="00322CDA">
        <w:rPr>
          <w:rFonts w:ascii="Arial" w:hAnsi="Arial" w:cs="Arial"/>
        </w:rPr>
        <w:t xml:space="preserve"> i forhold til sagsgenstanden</w:t>
      </w:r>
      <w:r w:rsidR="00F10630" w:rsidRPr="00D21073">
        <w:rPr>
          <w:rFonts w:ascii="Arial" w:hAnsi="Arial" w:cs="Arial"/>
        </w:rPr>
        <w:t xml:space="preserve">. </w:t>
      </w:r>
    </w:p>
    <w:p w14:paraId="7D3A210C" w14:textId="0EB55748" w:rsidR="00BB2A04" w:rsidRDefault="00BB2A04" w:rsidP="00DA7C5A">
      <w:pPr>
        <w:spacing w:after="0"/>
        <w:rPr>
          <w:rFonts w:cs="Arial"/>
          <w:i/>
          <w:sz w:val="22"/>
        </w:rPr>
      </w:pPr>
    </w:p>
    <w:p w14:paraId="3A12BB7A" w14:textId="77777777" w:rsidR="00E40933" w:rsidRDefault="00D44ED1" w:rsidP="00DA7C5A">
      <w:pPr>
        <w:spacing w:after="0"/>
        <w:rPr>
          <w:rFonts w:cs="Arial"/>
          <w:sz w:val="22"/>
        </w:rPr>
      </w:pPr>
      <w:r>
        <w:rPr>
          <w:rFonts w:cs="Arial"/>
          <w:i/>
          <w:sz w:val="22"/>
        </w:rPr>
        <w:t>Forslag til v</w:t>
      </w:r>
      <w:r w:rsidR="00E40933">
        <w:rPr>
          <w:rFonts w:cs="Arial"/>
          <w:i/>
          <w:sz w:val="22"/>
        </w:rPr>
        <w:t>idere proces</w:t>
      </w:r>
    </w:p>
    <w:p w14:paraId="7BAF035F" w14:textId="77777777" w:rsidR="00E40933" w:rsidRDefault="00E40933" w:rsidP="00DA7C5A">
      <w:pPr>
        <w:spacing w:after="0"/>
        <w:rPr>
          <w:rFonts w:cs="Arial"/>
          <w:sz w:val="22"/>
        </w:rPr>
      </w:pPr>
    </w:p>
    <w:p w14:paraId="04213B5E" w14:textId="45D64409" w:rsidR="00A01359" w:rsidRDefault="00AE3C8E" w:rsidP="00AF16BC">
      <w:pPr>
        <w:spacing w:after="0"/>
        <w:rPr>
          <w:rFonts w:cs="Arial"/>
          <w:sz w:val="22"/>
        </w:rPr>
      </w:pPr>
      <w:r>
        <w:rPr>
          <w:rFonts w:cs="Arial"/>
          <w:sz w:val="22"/>
        </w:rPr>
        <w:t xml:space="preserve">Småsagsprocessen er – blandt andet på foranledning af produktgruppens drøftelser – indstillet og valgt som fokusområde for domstolene i 2018-2019. </w:t>
      </w:r>
      <w:r w:rsidR="00AF16BC">
        <w:rPr>
          <w:rFonts w:cs="Arial"/>
          <w:sz w:val="22"/>
        </w:rPr>
        <w:t xml:space="preserve">Beskrivelsen af fokusområdet er vedhæftet indeværende notat som bilag </w:t>
      </w:r>
      <w:r w:rsidR="001341D4">
        <w:rPr>
          <w:rFonts w:cs="Arial"/>
          <w:sz w:val="22"/>
        </w:rPr>
        <w:t>B</w:t>
      </w:r>
      <w:r w:rsidR="00AF16BC">
        <w:rPr>
          <w:rFonts w:cs="Arial"/>
          <w:sz w:val="22"/>
        </w:rPr>
        <w:t xml:space="preserve">. </w:t>
      </w:r>
    </w:p>
    <w:p w14:paraId="09EF2F56" w14:textId="77777777" w:rsidR="00A01359" w:rsidRDefault="00A01359" w:rsidP="00AF16BC">
      <w:pPr>
        <w:spacing w:after="0"/>
        <w:rPr>
          <w:rFonts w:cs="Arial"/>
          <w:sz w:val="22"/>
        </w:rPr>
      </w:pPr>
    </w:p>
    <w:p w14:paraId="06EB9560" w14:textId="47FCD4C0" w:rsidR="00B21739" w:rsidRDefault="009E14F8" w:rsidP="00DA7C5A">
      <w:pPr>
        <w:spacing w:after="0"/>
        <w:rPr>
          <w:rFonts w:cs="Arial"/>
          <w:i/>
          <w:sz w:val="22"/>
        </w:rPr>
      </w:pPr>
      <w:r>
        <w:rPr>
          <w:rFonts w:cs="Arial"/>
          <w:sz w:val="22"/>
        </w:rPr>
        <w:t xml:space="preserve">Produktgruppen vil give </w:t>
      </w:r>
      <w:r w:rsidR="009C62D2">
        <w:rPr>
          <w:rFonts w:cs="Arial"/>
          <w:sz w:val="22"/>
        </w:rPr>
        <w:t>ovenstående forslag videre til fokusområdet om småsager som inspiration</w:t>
      </w:r>
      <w:r>
        <w:rPr>
          <w:rFonts w:cs="Arial"/>
          <w:sz w:val="22"/>
        </w:rPr>
        <w:t xml:space="preserve">. </w:t>
      </w:r>
    </w:p>
    <w:p w14:paraId="16CE3315" w14:textId="41D9B732" w:rsidR="00AF16BC" w:rsidRDefault="00AF16BC" w:rsidP="00DA7C5A">
      <w:pPr>
        <w:spacing w:after="0"/>
        <w:rPr>
          <w:rFonts w:cs="Arial"/>
          <w:i/>
          <w:sz w:val="22"/>
        </w:rPr>
      </w:pPr>
    </w:p>
    <w:p w14:paraId="5855CE82" w14:textId="77777777" w:rsidR="00916927" w:rsidRPr="00D21073" w:rsidRDefault="00916927" w:rsidP="00DA7C5A">
      <w:pPr>
        <w:spacing w:after="0"/>
        <w:rPr>
          <w:rFonts w:cs="Arial"/>
          <w:i/>
          <w:sz w:val="22"/>
        </w:rPr>
      </w:pPr>
    </w:p>
    <w:p w14:paraId="7F8A70BC" w14:textId="77777777" w:rsidR="00D21073" w:rsidRPr="00D21073" w:rsidRDefault="001548A5" w:rsidP="00DA7C5A">
      <w:pPr>
        <w:spacing w:after="0"/>
        <w:rPr>
          <w:rFonts w:cs="Arial"/>
          <w:sz w:val="22"/>
        </w:rPr>
      </w:pPr>
      <w:r>
        <w:rPr>
          <w:rFonts w:cs="Arial"/>
          <w:sz w:val="22"/>
          <w:u w:val="single"/>
        </w:rPr>
        <w:t xml:space="preserve">3. </w:t>
      </w:r>
      <w:r w:rsidR="00D21073" w:rsidRPr="00D21073">
        <w:rPr>
          <w:rFonts w:cs="Arial"/>
          <w:sz w:val="22"/>
          <w:u w:val="single"/>
        </w:rPr>
        <w:t>Anke</w:t>
      </w:r>
      <w:r w:rsidR="00CF1599">
        <w:rPr>
          <w:rFonts w:cs="Arial"/>
          <w:sz w:val="22"/>
          <w:u w:val="single"/>
        </w:rPr>
        <w:t>- og klage</w:t>
      </w:r>
      <w:r w:rsidR="00D21073" w:rsidRPr="00D21073">
        <w:rPr>
          <w:rFonts w:cs="Arial"/>
          <w:sz w:val="22"/>
          <w:u w:val="single"/>
        </w:rPr>
        <w:t>nævn</w:t>
      </w:r>
    </w:p>
    <w:p w14:paraId="7D13E0C4" w14:textId="77777777" w:rsidR="00D21073" w:rsidRDefault="00D21073" w:rsidP="00D21073">
      <w:pPr>
        <w:spacing w:after="0"/>
        <w:rPr>
          <w:rFonts w:cs="Arial"/>
          <w:sz w:val="22"/>
        </w:rPr>
      </w:pPr>
    </w:p>
    <w:p w14:paraId="7EA2C4CC" w14:textId="77777777" w:rsidR="00D21073" w:rsidRPr="00D21073" w:rsidRDefault="00565398" w:rsidP="00D21073">
      <w:pPr>
        <w:spacing w:after="0"/>
        <w:rPr>
          <w:rFonts w:cs="Arial"/>
          <w:sz w:val="22"/>
        </w:rPr>
      </w:pPr>
      <w:r>
        <w:rPr>
          <w:rFonts w:cs="Arial"/>
          <w:sz w:val="22"/>
        </w:rPr>
        <w:t>Nogle sager løses bedst i a</w:t>
      </w:r>
      <w:r w:rsidR="00D67E79">
        <w:rPr>
          <w:rFonts w:cs="Arial"/>
          <w:sz w:val="22"/>
        </w:rPr>
        <w:t>nkenævn</w:t>
      </w:r>
      <w:r w:rsidR="008573A2">
        <w:rPr>
          <w:rFonts w:cs="Arial"/>
          <w:sz w:val="22"/>
        </w:rPr>
        <w:t xml:space="preserve">. Et antal sager indbringes </w:t>
      </w:r>
      <w:r w:rsidR="003748EF">
        <w:rPr>
          <w:rFonts w:cs="Arial"/>
          <w:sz w:val="22"/>
        </w:rPr>
        <w:t xml:space="preserve">dog </w:t>
      </w:r>
      <w:r w:rsidR="008573A2">
        <w:rPr>
          <w:rFonts w:cs="Arial"/>
          <w:sz w:val="22"/>
        </w:rPr>
        <w:t xml:space="preserve">efter nævnsbehandlingen for domstolene, og det er vigtigt at sikre, at nævnene efterfølgende gøres bekendte med og dermed kan tilpasse </w:t>
      </w:r>
      <w:r w:rsidR="003748EF">
        <w:rPr>
          <w:rFonts w:cs="Arial"/>
          <w:sz w:val="22"/>
        </w:rPr>
        <w:t xml:space="preserve">nævnets </w:t>
      </w:r>
      <w:r w:rsidR="008573A2">
        <w:rPr>
          <w:rFonts w:cs="Arial"/>
          <w:sz w:val="22"/>
        </w:rPr>
        <w:t xml:space="preserve">praksis til domstolenes afgørelser. </w:t>
      </w:r>
      <w:r w:rsidR="00EF14A9">
        <w:rPr>
          <w:rFonts w:cs="Arial"/>
          <w:sz w:val="22"/>
        </w:rPr>
        <w:t xml:space="preserve"> </w:t>
      </w:r>
    </w:p>
    <w:p w14:paraId="4564C137" w14:textId="77777777" w:rsidR="00D21073" w:rsidRDefault="00D21073" w:rsidP="00DA7C5A">
      <w:pPr>
        <w:spacing w:after="0"/>
        <w:rPr>
          <w:rFonts w:cs="Arial"/>
          <w:sz w:val="22"/>
        </w:rPr>
      </w:pPr>
    </w:p>
    <w:p w14:paraId="4555459A" w14:textId="77777777" w:rsidR="00830BB4" w:rsidRDefault="00830BB4" w:rsidP="00DA7C5A">
      <w:pPr>
        <w:spacing w:after="0"/>
        <w:rPr>
          <w:rFonts w:cs="Arial"/>
          <w:sz w:val="22"/>
        </w:rPr>
      </w:pPr>
      <w:r>
        <w:rPr>
          <w:rFonts w:cs="Arial"/>
          <w:i/>
          <w:sz w:val="22"/>
        </w:rPr>
        <w:t>Konkrete forslag</w:t>
      </w:r>
    </w:p>
    <w:p w14:paraId="735C10FD" w14:textId="77777777" w:rsidR="00733665" w:rsidRPr="00072626" w:rsidRDefault="00CD1D1B" w:rsidP="00830BB4">
      <w:pPr>
        <w:pStyle w:val="Listeafsnit"/>
        <w:numPr>
          <w:ilvl w:val="0"/>
          <w:numId w:val="5"/>
        </w:numPr>
        <w:rPr>
          <w:rFonts w:cs="Arial"/>
        </w:rPr>
      </w:pPr>
      <w:r>
        <w:rPr>
          <w:rFonts w:ascii="Arial" w:hAnsi="Arial" w:cs="Arial"/>
        </w:rPr>
        <w:t xml:space="preserve">Domme afsagt over en forudgående afgørelse i et ankenævn skal sendes retur til nævnet, så ankenævnets praksis kan justeres i forhold til gældende retspraksis. </w:t>
      </w:r>
    </w:p>
    <w:p w14:paraId="5758A38D" w14:textId="77777777" w:rsidR="00931BAD" w:rsidRDefault="00931BAD" w:rsidP="00072626">
      <w:pPr>
        <w:spacing w:after="0"/>
        <w:rPr>
          <w:rFonts w:cs="Arial"/>
          <w:sz w:val="22"/>
        </w:rPr>
      </w:pPr>
    </w:p>
    <w:p w14:paraId="03243EAC" w14:textId="77777777" w:rsidR="002358C6" w:rsidRDefault="002358C6" w:rsidP="00072626">
      <w:pPr>
        <w:spacing w:after="0"/>
        <w:rPr>
          <w:rFonts w:cs="Arial"/>
          <w:sz w:val="22"/>
        </w:rPr>
      </w:pPr>
      <w:r>
        <w:rPr>
          <w:rFonts w:cs="Arial"/>
          <w:i/>
          <w:sz w:val="22"/>
        </w:rPr>
        <w:t>Videre proces</w:t>
      </w:r>
    </w:p>
    <w:p w14:paraId="2085085B" w14:textId="77777777" w:rsidR="00995771" w:rsidRDefault="00995771" w:rsidP="00072626">
      <w:pPr>
        <w:spacing w:after="0"/>
        <w:rPr>
          <w:rFonts w:cs="Arial"/>
          <w:sz w:val="22"/>
        </w:rPr>
      </w:pPr>
    </w:p>
    <w:p w14:paraId="2A9E438F" w14:textId="77777777" w:rsidR="00995771" w:rsidRPr="002358C6" w:rsidRDefault="00995771" w:rsidP="00072626">
      <w:pPr>
        <w:spacing w:after="0"/>
        <w:rPr>
          <w:rFonts w:cs="Arial"/>
          <w:sz w:val="22"/>
        </w:rPr>
      </w:pPr>
      <w:r>
        <w:rPr>
          <w:rFonts w:cs="Arial"/>
          <w:sz w:val="22"/>
        </w:rPr>
        <w:t xml:space="preserve">Domstolsstyrelsen vil undersøge mulighederne for at registrere forudgående nævnsbehandling i Civilsystemet og i samarbejde med retterne overveje en procedure for </w:t>
      </w:r>
      <w:r w:rsidR="000B0AC7">
        <w:rPr>
          <w:rFonts w:cs="Arial"/>
          <w:sz w:val="22"/>
        </w:rPr>
        <w:t xml:space="preserve">at orientere nævnene om efterfølgende domstolsafgørelser. </w:t>
      </w:r>
    </w:p>
    <w:p w14:paraId="14928DC8" w14:textId="7A379138" w:rsidR="002358C6" w:rsidRDefault="002358C6" w:rsidP="00072626">
      <w:pPr>
        <w:spacing w:after="0"/>
        <w:rPr>
          <w:rFonts w:cs="Arial"/>
          <w:sz w:val="22"/>
        </w:rPr>
      </w:pPr>
    </w:p>
    <w:p w14:paraId="40CB02EF" w14:textId="00F2D1A3" w:rsidR="008E69EF" w:rsidRDefault="008E69EF" w:rsidP="00072626">
      <w:pPr>
        <w:spacing w:after="0"/>
        <w:rPr>
          <w:rFonts w:cs="Arial"/>
          <w:sz w:val="22"/>
        </w:rPr>
      </w:pPr>
    </w:p>
    <w:p w14:paraId="7E61163B" w14:textId="77777777" w:rsidR="008E69EF" w:rsidRDefault="008E69EF" w:rsidP="00072626">
      <w:pPr>
        <w:spacing w:after="0"/>
        <w:rPr>
          <w:rFonts w:cs="Arial"/>
          <w:sz w:val="22"/>
        </w:rPr>
      </w:pPr>
    </w:p>
    <w:p w14:paraId="5555FA69" w14:textId="17B2F041" w:rsidR="00072626" w:rsidRDefault="00072626" w:rsidP="00072626">
      <w:pPr>
        <w:spacing w:after="0"/>
        <w:rPr>
          <w:rFonts w:cs="Arial"/>
          <w:sz w:val="22"/>
          <w:u w:val="single"/>
        </w:rPr>
      </w:pPr>
    </w:p>
    <w:p w14:paraId="46B7A848" w14:textId="77777777" w:rsidR="00916927" w:rsidRDefault="00916927" w:rsidP="00072626">
      <w:pPr>
        <w:spacing w:after="0"/>
        <w:rPr>
          <w:rFonts w:cs="Arial"/>
          <w:sz w:val="22"/>
          <w:u w:val="single"/>
        </w:rPr>
      </w:pPr>
    </w:p>
    <w:p w14:paraId="5E74764B" w14:textId="497AAE87" w:rsidR="00072626" w:rsidRPr="00072626" w:rsidRDefault="001548A5" w:rsidP="00072626">
      <w:pPr>
        <w:spacing w:after="0"/>
        <w:rPr>
          <w:rFonts w:cs="Arial"/>
          <w:sz w:val="22"/>
          <w:u w:val="single"/>
        </w:rPr>
      </w:pPr>
      <w:r>
        <w:rPr>
          <w:rFonts w:cs="Arial"/>
          <w:sz w:val="22"/>
          <w:u w:val="single"/>
        </w:rPr>
        <w:t xml:space="preserve">4. </w:t>
      </w:r>
      <w:r w:rsidR="00A75739">
        <w:rPr>
          <w:rFonts w:cs="Arial"/>
          <w:sz w:val="22"/>
          <w:u w:val="single"/>
        </w:rPr>
        <w:t>Endnu højere kvalitet i sagsbehandlingen</w:t>
      </w:r>
    </w:p>
    <w:p w14:paraId="34EB0785" w14:textId="77777777" w:rsidR="00072626" w:rsidRDefault="00072626" w:rsidP="00072626">
      <w:pPr>
        <w:spacing w:after="0"/>
        <w:rPr>
          <w:rFonts w:cs="Arial"/>
          <w:sz w:val="22"/>
        </w:rPr>
      </w:pPr>
    </w:p>
    <w:p w14:paraId="378C3EDA" w14:textId="6C238B1C" w:rsidR="00BD2838" w:rsidRDefault="00BD2838" w:rsidP="00072626">
      <w:pPr>
        <w:spacing w:after="0"/>
        <w:rPr>
          <w:rFonts w:cs="Arial"/>
          <w:sz w:val="22"/>
        </w:rPr>
      </w:pPr>
      <w:r>
        <w:rPr>
          <w:rFonts w:cs="Arial"/>
          <w:sz w:val="22"/>
        </w:rPr>
        <w:t xml:space="preserve">Domstolene møder </w:t>
      </w:r>
      <w:r w:rsidR="00185981">
        <w:rPr>
          <w:rFonts w:cs="Arial"/>
          <w:sz w:val="22"/>
        </w:rPr>
        <w:t xml:space="preserve">fra tid til anden </w:t>
      </w:r>
      <w:r>
        <w:rPr>
          <w:rFonts w:cs="Arial"/>
          <w:sz w:val="22"/>
        </w:rPr>
        <w:t>en efterspørgsel på mere specialiseret behandling ved retterne fra blandt andet advokater og brugere</w:t>
      </w:r>
      <w:r w:rsidR="007A7477">
        <w:rPr>
          <w:rFonts w:cs="Arial"/>
          <w:sz w:val="22"/>
        </w:rPr>
        <w:t>.</w:t>
      </w:r>
      <w:r w:rsidR="00A113A4">
        <w:rPr>
          <w:rFonts w:cs="Arial"/>
          <w:sz w:val="22"/>
        </w:rPr>
        <w:t xml:space="preserve"> </w:t>
      </w:r>
      <w:r w:rsidR="007A7477">
        <w:rPr>
          <w:rFonts w:cs="Arial"/>
          <w:sz w:val="22"/>
        </w:rPr>
        <w:t>D</w:t>
      </w:r>
      <w:r w:rsidR="006C01C2">
        <w:rPr>
          <w:rFonts w:cs="Arial"/>
          <w:sz w:val="22"/>
        </w:rPr>
        <w:t xml:space="preserve">ommere </w:t>
      </w:r>
      <w:r w:rsidR="007A7477">
        <w:rPr>
          <w:rFonts w:cs="Arial"/>
          <w:sz w:val="22"/>
        </w:rPr>
        <w:t xml:space="preserve">bør </w:t>
      </w:r>
      <w:r w:rsidR="006C01C2">
        <w:rPr>
          <w:rFonts w:cs="Arial"/>
          <w:sz w:val="22"/>
        </w:rPr>
        <w:t>fortsat være generalister, men det er relevant at se nærmere på mulige initiativer</w:t>
      </w:r>
      <w:r w:rsidR="00E36C33">
        <w:rPr>
          <w:rFonts w:cs="Arial"/>
          <w:sz w:val="22"/>
        </w:rPr>
        <w:t xml:space="preserve"> til</w:t>
      </w:r>
      <w:r w:rsidR="006C01C2">
        <w:rPr>
          <w:rFonts w:cs="Arial"/>
          <w:sz w:val="22"/>
        </w:rPr>
        <w:t xml:space="preserve">, </w:t>
      </w:r>
      <w:r w:rsidR="00E36C33">
        <w:rPr>
          <w:rFonts w:cs="Arial"/>
          <w:sz w:val="22"/>
        </w:rPr>
        <w:t>hvordan</w:t>
      </w:r>
      <w:r w:rsidR="006C01C2">
        <w:rPr>
          <w:rFonts w:cs="Arial"/>
          <w:sz w:val="22"/>
        </w:rPr>
        <w:t xml:space="preserve"> domstolene kan </w:t>
      </w:r>
      <w:r w:rsidR="00E36C33">
        <w:rPr>
          <w:rFonts w:cs="Arial"/>
          <w:sz w:val="22"/>
        </w:rPr>
        <w:t>løfte kvaliteten af sagsbehandlingen yderligere</w:t>
      </w:r>
      <w:r w:rsidR="004964EC">
        <w:rPr>
          <w:rFonts w:cs="Arial"/>
          <w:sz w:val="22"/>
        </w:rPr>
        <w:t>. Det kan ske</w:t>
      </w:r>
      <w:r w:rsidR="004E1CDD">
        <w:rPr>
          <w:rFonts w:cs="Arial"/>
          <w:sz w:val="22"/>
        </w:rPr>
        <w:t xml:space="preserve"> gennem særlig efter</w:t>
      </w:r>
      <w:r w:rsidR="004964EC">
        <w:rPr>
          <w:rFonts w:cs="Arial"/>
          <w:sz w:val="22"/>
        </w:rPr>
        <w:t>uddannelse af dommere inden for visse sagsområder</w:t>
      </w:r>
      <w:r w:rsidR="00E36C33">
        <w:rPr>
          <w:rFonts w:cs="Arial"/>
          <w:sz w:val="22"/>
        </w:rPr>
        <w:t xml:space="preserve"> samt</w:t>
      </w:r>
      <w:r w:rsidR="004964EC">
        <w:rPr>
          <w:rFonts w:cs="Arial"/>
          <w:sz w:val="22"/>
        </w:rPr>
        <w:t xml:space="preserve"> øget brug af</w:t>
      </w:r>
      <w:r w:rsidR="006C01C2">
        <w:rPr>
          <w:rFonts w:cs="Arial"/>
          <w:sz w:val="22"/>
        </w:rPr>
        <w:t xml:space="preserve"> tredommerbehandling</w:t>
      </w:r>
      <w:r w:rsidR="004964EC">
        <w:rPr>
          <w:rFonts w:cs="Arial"/>
          <w:sz w:val="22"/>
        </w:rPr>
        <w:t xml:space="preserve"> og </w:t>
      </w:r>
      <w:r w:rsidR="006C01C2">
        <w:rPr>
          <w:rFonts w:cs="Arial"/>
          <w:sz w:val="22"/>
        </w:rPr>
        <w:t>sagkyndige dommere.</w:t>
      </w:r>
    </w:p>
    <w:p w14:paraId="1A53FA41" w14:textId="77777777" w:rsidR="00BD2838" w:rsidRDefault="00BD2838" w:rsidP="00072626">
      <w:pPr>
        <w:spacing w:after="0"/>
        <w:rPr>
          <w:rFonts w:cs="Arial"/>
          <w:sz w:val="22"/>
        </w:rPr>
      </w:pPr>
    </w:p>
    <w:p w14:paraId="22B446EA" w14:textId="77777777" w:rsidR="00BD2838" w:rsidRDefault="00BD2838" w:rsidP="00072626">
      <w:pPr>
        <w:spacing w:after="0"/>
        <w:rPr>
          <w:rFonts w:cs="Arial"/>
          <w:sz w:val="22"/>
        </w:rPr>
      </w:pPr>
      <w:r>
        <w:rPr>
          <w:rFonts w:cs="Arial"/>
          <w:i/>
          <w:sz w:val="22"/>
        </w:rPr>
        <w:t>Konkrete forslag</w:t>
      </w:r>
    </w:p>
    <w:p w14:paraId="7911346E" w14:textId="77777777" w:rsidR="002811F5" w:rsidRDefault="00BD2838" w:rsidP="00BD2838">
      <w:pPr>
        <w:pStyle w:val="Listeafsnit"/>
        <w:numPr>
          <w:ilvl w:val="0"/>
          <w:numId w:val="5"/>
        </w:numPr>
        <w:rPr>
          <w:rFonts w:ascii="Arial" w:hAnsi="Arial" w:cs="Arial"/>
        </w:rPr>
      </w:pPr>
      <w:r w:rsidRPr="00BD2838">
        <w:rPr>
          <w:rFonts w:ascii="Arial" w:hAnsi="Arial" w:cs="Arial"/>
        </w:rPr>
        <w:t xml:space="preserve">Øget </w:t>
      </w:r>
      <w:r>
        <w:rPr>
          <w:rFonts w:ascii="Arial" w:hAnsi="Arial" w:cs="Arial"/>
        </w:rPr>
        <w:t>brug af tredommerbehandling og sagkyndige dommere kan øge kvaliteten i behandlingen af komplicerede og/eller specialiserede sager.</w:t>
      </w:r>
    </w:p>
    <w:p w14:paraId="24154D5C" w14:textId="141DE828" w:rsidR="00BD2838" w:rsidRDefault="002811F5" w:rsidP="00BD2838">
      <w:pPr>
        <w:pStyle w:val="Listeafsnit"/>
        <w:numPr>
          <w:ilvl w:val="0"/>
          <w:numId w:val="5"/>
        </w:numPr>
        <w:rPr>
          <w:rFonts w:ascii="Arial" w:hAnsi="Arial" w:cs="Arial"/>
        </w:rPr>
      </w:pPr>
      <w:r>
        <w:rPr>
          <w:rFonts w:ascii="Arial" w:hAnsi="Arial" w:cs="Arial"/>
        </w:rPr>
        <w:lastRenderedPageBreak/>
        <w:t xml:space="preserve">Det bør overvejes, om domstolene </w:t>
      </w:r>
      <w:r w:rsidR="00F93DA0">
        <w:rPr>
          <w:rFonts w:ascii="Arial" w:hAnsi="Arial" w:cs="Arial"/>
        </w:rPr>
        <w:t xml:space="preserve">bør </w:t>
      </w:r>
      <w:r>
        <w:rPr>
          <w:rFonts w:ascii="Arial" w:hAnsi="Arial" w:cs="Arial"/>
        </w:rPr>
        <w:t xml:space="preserve">tage yderligere initiativer </w:t>
      </w:r>
      <w:r w:rsidR="00E36C33">
        <w:rPr>
          <w:rFonts w:ascii="Arial" w:hAnsi="Arial" w:cs="Arial"/>
        </w:rPr>
        <w:t>for at løfte kvaliteten af sagsbehandlingen inden for særligt vanskelige sagsområder</w:t>
      </w:r>
      <w:r>
        <w:rPr>
          <w:rFonts w:ascii="Arial" w:hAnsi="Arial" w:cs="Arial"/>
        </w:rPr>
        <w:t xml:space="preserve">, hvor domstolene kun modtager få sager årligt. </w:t>
      </w:r>
      <w:r w:rsidR="00BD2838" w:rsidRPr="00BD2838">
        <w:rPr>
          <w:rFonts w:ascii="Arial" w:hAnsi="Arial" w:cs="Arial"/>
        </w:rPr>
        <w:t xml:space="preserve"> </w:t>
      </w:r>
    </w:p>
    <w:p w14:paraId="60457D64" w14:textId="77777777" w:rsidR="00982472" w:rsidRDefault="00982472" w:rsidP="00072626">
      <w:pPr>
        <w:spacing w:after="0"/>
        <w:rPr>
          <w:rFonts w:cs="Arial"/>
          <w:i/>
          <w:sz w:val="22"/>
        </w:rPr>
      </w:pPr>
    </w:p>
    <w:p w14:paraId="64E83D4B" w14:textId="77777777" w:rsidR="005A0CE0" w:rsidRDefault="005A0CE0" w:rsidP="00072626">
      <w:pPr>
        <w:spacing w:after="0"/>
        <w:rPr>
          <w:rFonts w:cs="Arial"/>
          <w:sz w:val="22"/>
        </w:rPr>
      </w:pPr>
      <w:r>
        <w:rPr>
          <w:rFonts w:cs="Arial"/>
          <w:i/>
          <w:sz w:val="22"/>
        </w:rPr>
        <w:t>Videre proces</w:t>
      </w:r>
    </w:p>
    <w:p w14:paraId="3C844987" w14:textId="77777777" w:rsidR="005A0CE0" w:rsidRDefault="005A0CE0" w:rsidP="00072626">
      <w:pPr>
        <w:spacing w:after="0"/>
        <w:rPr>
          <w:rFonts w:cs="Arial"/>
          <w:sz w:val="22"/>
        </w:rPr>
      </w:pPr>
    </w:p>
    <w:p w14:paraId="3A058D5F" w14:textId="225C9CE3" w:rsidR="003E5E6B" w:rsidRDefault="003E5E6B" w:rsidP="00072626">
      <w:pPr>
        <w:spacing w:after="0"/>
        <w:rPr>
          <w:rFonts w:cs="Arial"/>
          <w:sz w:val="22"/>
        </w:rPr>
      </w:pPr>
      <w:r>
        <w:rPr>
          <w:rFonts w:cs="Arial"/>
          <w:sz w:val="22"/>
        </w:rPr>
        <w:t xml:space="preserve">Det er vigtigt </w:t>
      </w:r>
      <w:r w:rsidR="00336FB3">
        <w:rPr>
          <w:rFonts w:cs="Arial"/>
          <w:sz w:val="22"/>
        </w:rPr>
        <w:t>for</w:t>
      </w:r>
      <w:r>
        <w:rPr>
          <w:rFonts w:cs="Arial"/>
          <w:sz w:val="22"/>
        </w:rPr>
        <w:t xml:space="preserve"> de videre overvejelser </w:t>
      </w:r>
      <w:r w:rsidR="00336FB3">
        <w:rPr>
          <w:rFonts w:cs="Arial"/>
          <w:sz w:val="22"/>
        </w:rPr>
        <w:t xml:space="preserve">, at der </w:t>
      </w:r>
      <w:r>
        <w:rPr>
          <w:rFonts w:cs="Arial"/>
          <w:sz w:val="22"/>
        </w:rPr>
        <w:t>foretage</w:t>
      </w:r>
      <w:r w:rsidR="00336FB3">
        <w:rPr>
          <w:rFonts w:cs="Arial"/>
          <w:sz w:val="22"/>
        </w:rPr>
        <w:t>s</w:t>
      </w:r>
      <w:r>
        <w:rPr>
          <w:rFonts w:cs="Arial"/>
          <w:sz w:val="22"/>
        </w:rPr>
        <w:t xml:space="preserve"> en undersøgelse af embedernes nuværende brug af sagkyndige dommere og tredommerbehandling. </w:t>
      </w:r>
      <w:r w:rsidR="007E1C06">
        <w:rPr>
          <w:rFonts w:cs="Arial"/>
          <w:sz w:val="22"/>
        </w:rPr>
        <w:t>Det vil kaste lys over, hvornår retterne tilbyder tredommerbeha</w:t>
      </w:r>
      <w:r w:rsidR="00232FFA">
        <w:rPr>
          <w:rFonts w:cs="Arial"/>
          <w:sz w:val="22"/>
        </w:rPr>
        <w:t>ndling og inddrager sagkyndige og dermed</w:t>
      </w:r>
      <w:r w:rsidR="00F652F8">
        <w:rPr>
          <w:rFonts w:cs="Arial"/>
          <w:sz w:val="22"/>
        </w:rPr>
        <w:t xml:space="preserve"> give mulighed for at</w:t>
      </w:r>
      <w:r w:rsidR="00232FFA">
        <w:rPr>
          <w:rFonts w:cs="Arial"/>
          <w:sz w:val="22"/>
        </w:rPr>
        <w:t xml:space="preserve"> dele gode erfaringer retterne i mellem</w:t>
      </w:r>
      <w:r w:rsidR="00F652F8">
        <w:rPr>
          <w:rFonts w:cs="Arial"/>
          <w:sz w:val="22"/>
        </w:rPr>
        <w:t>. Desuden vil det</w:t>
      </w:r>
      <w:r w:rsidR="00232FFA">
        <w:rPr>
          <w:rFonts w:cs="Arial"/>
          <w:sz w:val="22"/>
        </w:rPr>
        <w:t xml:space="preserve"> klargøre, om </w:t>
      </w:r>
      <w:r w:rsidR="007E1C06">
        <w:rPr>
          <w:rFonts w:cs="Arial"/>
          <w:sz w:val="22"/>
        </w:rPr>
        <w:t xml:space="preserve">det i nogle sager ville være værd i højere grad at gøre brug af disse muligheder. </w:t>
      </w:r>
      <w:r w:rsidR="003E4F44">
        <w:rPr>
          <w:rFonts w:cs="Arial"/>
          <w:sz w:val="22"/>
        </w:rPr>
        <w:t xml:space="preserve">Sidst men ikke mindst ville det give et overblik over, hvornår </w:t>
      </w:r>
      <w:r w:rsidR="00C85EEE">
        <w:rPr>
          <w:rFonts w:cs="Arial"/>
          <w:sz w:val="22"/>
        </w:rPr>
        <w:t xml:space="preserve">advokaterne henholdsvis ønsker og ikke ønsker tredommerbehandling eller medvirken af sagkyndige dommere. </w:t>
      </w:r>
      <w:r w:rsidR="007E1C06">
        <w:rPr>
          <w:rFonts w:cs="Arial"/>
          <w:sz w:val="22"/>
        </w:rPr>
        <w:t xml:space="preserve"> </w:t>
      </w:r>
    </w:p>
    <w:p w14:paraId="020D3A60" w14:textId="77777777" w:rsidR="003E5E6B" w:rsidRDefault="003E5E6B" w:rsidP="00072626">
      <w:pPr>
        <w:spacing w:after="0"/>
        <w:rPr>
          <w:rFonts w:cs="Arial"/>
          <w:sz w:val="22"/>
        </w:rPr>
      </w:pPr>
    </w:p>
    <w:p w14:paraId="50852594" w14:textId="55FB86C8" w:rsidR="005A0CE0" w:rsidRPr="005A0CE0" w:rsidRDefault="00261CBE" w:rsidP="00072626">
      <w:pPr>
        <w:spacing w:after="0"/>
        <w:rPr>
          <w:rFonts w:cs="Arial"/>
          <w:sz w:val="22"/>
        </w:rPr>
      </w:pPr>
      <w:r>
        <w:rPr>
          <w:rFonts w:cs="Arial"/>
          <w:sz w:val="22"/>
        </w:rPr>
        <w:t>Forskellige</w:t>
      </w:r>
      <w:r w:rsidR="005354EC">
        <w:rPr>
          <w:rFonts w:cs="Arial"/>
          <w:sz w:val="22"/>
        </w:rPr>
        <w:t xml:space="preserve"> initiativer for at løfte kvaliteten af sagsbehandlingen</w:t>
      </w:r>
      <w:r w:rsidR="005354EC">
        <w:rPr>
          <w:rFonts w:cs="Arial"/>
          <w:sz w:val="22"/>
        </w:rPr>
        <w:t xml:space="preserve"> </w:t>
      </w:r>
      <w:r w:rsidR="005A0CE0">
        <w:rPr>
          <w:rFonts w:cs="Arial"/>
          <w:sz w:val="22"/>
        </w:rPr>
        <w:t>har ligeledes været drøftet i Ledelsesforums Strategigruppe</w:t>
      </w:r>
      <w:r w:rsidR="00025AD8">
        <w:rPr>
          <w:rFonts w:cs="Arial"/>
          <w:sz w:val="22"/>
        </w:rPr>
        <w:t>, og</w:t>
      </w:r>
      <w:r w:rsidR="005A0CE0">
        <w:rPr>
          <w:rFonts w:cs="Arial"/>
          <w:sz w:val="22"/>
        </w:rPr>
        <w:t xml:space="preserve"> </w:t>
      </w:r>
      <w:r w:rsidR="00025AD8">
        <w:rPr>
          <w:rFonts w:cs="Arial"/>
          <w:sz w:val="22"/>
        </w:rPr>
        <w:t>p</w:t>
      </w:r>
      <w:r w:rsidR="00161A7B">
        <w:rPr>
          <w:rFonts w:cs="Arial"/>
          <w:sz w:val="22"/>
        </w:rPr>
        <w:t xml:space="preserve">roduktgruppen foreslår, at </w:t>
      </w:r>
      <w:r w:rsidR="0062614D">
        <w:rPr>
          <w:rFonts w:cs="Arial"/>
          <w:sz w:val="22"/>
        </w:rPr>
        <w:t>forslagene</w:t>
      </w:r>
      <w:r w:rsidR="002C4F1D">
        <w:rPr>
          <w:rFonts w:cs="Arial"/>
          <w:sz w:val="22"/>
        </w:rPr>
        <w:t xml:space="preserve"> videregives og</w:t>
      </w:r>
      <w:r w:rsidR="0062614D">
        <w:rPr>
          <w:rFonts w:cs="Arial"/>
          <w:sz w:val="22"/>
        </w:rPr>
        <w:t xml:space="preserve"> indgår i </w:t>
      </w:r>
      <w:r w:rsidR="00161A7B">
        <w:rPr>
          <w:rFonts w:cs="Arial"/>
          <w:sz w:val="22"/>
        </w:rPr>
        <w:t>strategigruppen</w:t>
      </w:r>
      <w:r w:rsidR="005D63ED">
        <w:rPr>
          <w:rFonts w:cs="Arial"/>
          <w:sz w:val="22"/>
        </w:rPr>
        <w:t>s videre arbejde</w:t>
      </w:r>
      <w:r w:rsidR="00161A7B">
        <w:rPr>
          <w:rFonts w:cs="Arial"/>
          <w:sz w:val="22"/>
        </w:rPr>
        <w:t xml:space="preserve">. </w:t>
      </w:r>
      <w:r w:rsidR="003E5E6B">
        <w:rPr>
          <w:rFonts w:cs="Arial"/>
          <w:sz w:val="22"/>
        </w:rPr>
        <w:t xml:space="preserve"> </w:t>
      </w:r>
    </w:p>
    <w:p w14:paraId="1EFF7B28" w14:textId="77777777" w:rsidR="005A0CE0" w:rsidRDefault="005A0CE0" w:rsidP="00072626">
      <w:pPr>
        <w:spacing w:after="0"/>
        <w:rPr>
          <w:rFonts w:cs="Arial"/>
          <w:sz w:val="22"/>
        </w:rPr>
      </w:pPr>
    </w:p>
    <w:p w14:paraId="4A247696" w14:textId="77777777" w:rsidR="00072626" w:rsidRDefault="00072626" w:rsidP="007B1C85">
      <w:pPr>
        <w:spacing w:after="0"/>
        <w:rPr>
          <w:rFonts w:cs="Arial"/>
          <w:sz w:val="22"/>
        </w:rPr>
      </w:pPr>
    </w:p>
    <w:p w14:paraId="73E63626" w14:textId="77777777" w:rsidR="00E96DC7" w:rsidRPr="007B1C85" w:rsidRDefault="00E96DC7" w:rsidP="007B1C85">
      <w:pPr>
        <w:spacing w:after="0"/>
        <w:rPr>
          <w:rFonts w:cs="Arial"/>
          <w:sz w:val="22"/>
        </w:rPr>
      </w:pPr>
    </w:p>
    <w:sectPr w:rsidR="00E96DC7" w:rsidRPr="007B1C85" w:rsidSect="00425223">
      <w:footerReference w:type="defaul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367F3" w14:textId="77777777" w:rsidR="000F6353" w:rsidRDefault="000F6353" w:rsidP="00425223">
      <w:pPr>
        <w:spacing w:after="0" w:line="240" w:lineRule="auto"/>
      </w:pPr>
      <w:r>
        <w:separator/>
      </w:r>
    </w:p>
  </w:endnote>
  <w:endnote w:type="continuationSeparator" w:id="0">
    <w:p w14:paraId="4E9FB801" w14:textId="77777777" w:rsidR="000F6353" w:rsidRDefault="000F6353" w:rsidP="00425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005863"/>
      <w:docPartObj>
        <w:docPartGallery w:val="Page Numbers (Bottom of Page)"/>
        <w:docPartUnique/>
      </w:docPartObj>
    </w:sdtPr>
    <w:sdtEndPr/>
    <w:sdtContent>
      <w:p w14:paraId="6F7CD4F6" w14:textId="210A0CF8" w:rsidR="00F93DA0" w:rsidRDefault="002220E0">
        <w:pPr>
          <w:pStyle w:val="Sidefod"/>
          <w:jc w:val="center"/>
        </w:pPr>
        <w:r>
          <w:fldChar w:fldCharType="begin"/>
        </w:r>
        <w:r w:rsidR="00F93DA0">
          <w:instrText>PAGE   \* MERGEFORMAT</w:instrText>
        </w:r>
        <w:r>
          <w:fldChar w:fldCharType="separate"/>
        </w:r>
        <w:r w:rsidR="009D522E">
          <w:rPr>
            <w:noProof/>
          </w:rPr>
          <w:t>2</w:t>
        </w:r>
        <w:r>
          <w:fldChar w:fldCharType="end"/>
        </w:r>
      </w:p>
    </w:sdtContent>
  </w:sdt>
  <w:p w14:paraId="2302D9B4" w14:textId="77777777" w:rsidR="00F93DA0" w:rsidRDefault="00F93DA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B3492" w14:textId="77777777" w:rsidR="000F6353" w:rsidRDefault="000F6353" w:rsidP="00425223">
      <w:pPr>
        <w:spacing w:after="0" w:line="240" w:lineRule="auto"/>
      </w:pPr>
      <w:r>
        <w:separator/>
      </w:r>
    </w:p>
  </w:footnote>
  <w:footnote w:type="continuationSeparator" w:id="0">
    <w:p w14:paraId="317E6798" w14:textId="77777777" w:rsidR="000F6353" w:rsidRDefault="000F6353" w:rsidP="00425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76CE4"/>
    <w:multiLevelType w:val="hybridMultilevel"/>
    <w:tmpl w:val="8B0E1B50"/>
    <w:lvl w:ilvl="0" w:tplc="C6D6B5AE">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A7C5CD3"/>
    <w:multiLevelType w:val="hybridMultilevel"/>
    <w:tmpl w:val="7D00DD32"/>
    <w:lvl w:ilvl="0" w:tplc="7DAA65C4">
      <w:numFmt w:val="bullet"/>
      <w:lvlText w:val="-"/>
      <w:lvlJc w:val="left"/>
      <w:pPr>
        <w:ind w:left="720" w:hanging="360"/>
      </w:pPr>
      <w:rPr>
        <w:rFonts w:ascii="Arial" w:eastAsia="Calibri" w:hAnsi="Arial" w:cs="Aria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15:restartNumberingAfterBreak="0">
    <w:nsid w:val="6DF05146"/>
    <w:multiLevelType w:val="hybridMultilevel"/>
    <w:tmpl w:val="6DBE928E"/>
    <w:lvl w:ilvl="0" w:tplc="59B602FA">
      <w:start w:val="1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0CE4FA2"/>
    <w:multiLevelType w:val="hybridMultilevel"/>
    <w:tmpl w:val="00AE526A"/>
    <w:lvl w:ilvl="0" w:tplc="8EBA1D5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A57E18"/>
    <w:multiLevelType w:val="hybridMultilevel"/>
    <w:tmpl w:val="B9C41BA4"/>
    <w:lvl w:ilvl="0" w:tplc="C898288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06"/>
    <w:rsid w:val="000005EB"/>
    <w:rsid w:val="000017D5"/>
    <w:rsid w:val="00003388"/>
    <w:rsid w:val="00004B0E"/>
    <w:rsid w:val="00007431"/>
    <w:rsid w:val="00016958"/>
    <w:rsid w:val="00021CB6"/>
    <w:rsid w:val="00025AD8"/>
    <w:rsid w:val="00030A97"/>
    <w:rsid w:val="00034613"/>
    <w:rsid w:val="0004596C"/>
    <w:rsid w:val="000460ED"/>
    <w:rsid w:val="00054F60"/>
    <w:rsid w:val="00072626"/>
    <w:rsid w:val="00074980"/>
    <w:rsid w:val="00083A1F"/>
    <w:rsid w:val="00095C0D"/>
    <w:rsid w:val="000A4626"/>
    <w:rsid w:val="000B0193"/>
    <w:rsid w:val="000B0AC7"/>
    <w:rsid w:val="000B70B3"/>
    <w:rsid w:val="000C35D4"/>
    <w:rsid w:val="000C7FC6"/>
    <w:rsid w:val="000D03E7"/>
    <w:rsid w:val="000D5C74"/>
    <w:rsid w:val="000E5004"/>
    <w:rsid w:val="000F08C6"/>
    <w:rsid w:val="000F2F60"/>
    <w:rsid w:val="000F6353"/>
    <w:rsid w:val="000F67AB"/>
    <w:rsid w:val="0010028A"/>
    <w:rsid w:val="00107FB8"/>
    <w:rsid w:val="00117BB7"/>
    <w:rsid w:val="00124573"/>
    <w:rsid w:val="0012718D"/>
    <w:rsid w:val="001341D4"/>
    <w:rsid w:val="00135112"/>
    <w:rsid w:val="00135346"/>
    <w:rsid w:val="00146536"/>
    <w:rsid w:val="00150B23"/>
    <w:rsid w:val="001548A5"/>
    <w:rsid w:val="00154C44"/>
    <w:rsid w:val="00161A7B"/>
    <w:rsid w:val="00162A01"/>
    <w:rsid w:val="001712D8"/>
    <w:rsid w:val="001815D8"/>
    <w:rsid w:val="0018348F"/>
    <w:rsid w:val="00185981"/>
    <w:rsid w:val="001952A1"/>
    <w:rsid w:val="00195509"/>
    <w:rsid w:val="001A1000"/>
    <w:rsid w:val="001B1706"/>
    <w:rsid w:val="001B4BE7"/>
    <w:rsid w:val="001B591B"/>
    <w:rsid w:val="001C12B9"/>
    <w:rsid w:val="001C3F33"/>
    <w:rsid w:val="001C584D"/>
    <w:rsid w:val="001D0F72"/>
    <w:rsid w:val="001D5299"/>
    <w:rsid w:val="001E1FE9"/>
    <w:rsid w:val="001F710F"/>
    <w:rsid w:val="00201D98"/>
    <w:rsid w:val="00203420"/>
    <w:rsid w:val="002220E0"/>
    <w:rsid w:val="00222265"/>
    <w:rsid w:val="00232FFA"/>
    <w:rsid w:val="002358C6"/>
    <w:rsid w:val="00240692"/>
    <w:rsid w:val="002453B3"/>
    <w:rsid w:val="002453D3"/>
    <w:rsid w:val="0024702D"/>
    <w:rsid w:val="002549FA"/>
    <w:rsid w:val="00254EEE"/>
    <w:rsid w:val="00261CBE"/>
    <w:rsid w:val="00262ABF"/>
    <w:rsid w:val="002645F5"/>
    <w:rsid w:val="002703E5"/>
    <w:rsid w:val="00271084"/>
    <w:rsid w:val="00276926"/>
    <w:rsid w:val="00277456"/>
    <w:rsid w:val="002811F5"/>
    <w:rsid w:val="00284D8A"/>
    <w:rsid w:val="00284FF5"/>
    <w:rsid w:val="002927B1"/>
    <w:rsid w:val="002C4C2A"/>
    <w:rsid w:val="002C4F1D"/>
    <w:rsid w:val="002C5F4A"/>
    <w:rsid w:val="002D55A9"/>
    <w:rsid w:val="002E0852"/>
    <w:rsid w:val="002F39BF"/>
    <w:rsid w:val="002F6EF3"/>
    <w:rsid w:val="003013C0"/>
    <w:rsid w:val="0031039F"/>
    <w:rsid w:val="00311EA1"/>
    <w:rsid w:val="003125B2"/>
    <w:rsid w:val="00314006"/>
    <w:rsid w:val="00315D4C"/>
    <w:rsid w:val="00317A2F"/>
    <w:rsid w:val="00321678"/>
    <w:rsid w:val="00322CDA"/>
    <w:rsid w:val="00323A25"/>
    <w:rsid w:val="00326551"/>
    <w:rsid w:val="0033185E"/>
    <w:rsid w:val="00332DE8"/>
    <w:rsid w:val="00336FB3"/>
    <w:rsid w:val="00337E8B"/>
    <w:rsid w:val="00340F4E"/>
    <w:rsid w:val="003452C8"/>
    <w:rsid w:val="003465D5"/>
    <w:rsid w:val="00355F8B"/>
    <w:rsid w:val="003748EF"/>
    <w:rsid w:val="0038313D"/>
    <w:rsid w:val="00383FA0"/>
    <w:rsid w:val="00386CC1"/>
    <w:rsid w:val="00394E13"/>
    <w:rsid w:val="00396A06"/>
    <w:rsid w:val="00397DE3"/>
    <w:rsid w:val="003A40D2"/>
    <w:rsid w:val="003A5EC8"/>
    <w:rsid w:val="003A6B8A"/>
    <w:rsid w:val="003C5959"/>
    <w:rsid w:val="003D4639"/>
    <w:rsid w:val="003D7162"/>
    <w:rsid w:val="003E4BFA"/>
    <w:rsid w:val="003E4F44"/>
    <w:rsid w:val="003E51A2"/>
    <w:rsid w:val="003E5E6B"/>
    <w:rsid w:val="003E68E2"/>
    <w:rsid w:val="003E6E33"/>
    <w:rsid w:val="003F7DDD"/>
    <w:rsid w:val="00411A8C"/>
    <w:rsid w:val="004163CE"/>
    <w:rsid w:val="0042030B"/>
    <w:rsid w:val="0042251B"/>
    <w:rsid w:val="0042373D"/>
    <w:rsid w:val="00423E95"/>
    <w:rsid w:val="00425223"/>
    <w:rsid w:val="00426553"/>
    <w:rsid w:val="00426A16"/>
    <w:rsid w:val="00431714"/>
    <w:rsid w:val="004320C1"/>
    <w:rsid w:val="004327C1"/>
    <w:rsid w:val="00433B86"/>
    <w:rsid w:val="00444222"/>
    <w:rsid w:val="00453D1F"/>
    <w:rsid w:val="00457139"/>
    <w:rsid w:val="00460BE2"/>
    <w:rsid w:val="004657D4"/>
    <w:rsid w:val="00467524"/>
    <w:rsid w:val="00470794"/>
    <w:rsid w:val="0047601E"/>
    <w:rsid w:val="0048240D"/>
    <w:rsid w:val="00482417"/>
    <w:rsid w:val="004938F9"/>
    <w:rsid w:val="00495435"/>
    <w:rsid w:val="004964EC"/>
    <w:rsid w:val="00497EE4"/>
    <w:rsid w:val="004A61CB"/>
    <w:rsid w:val="004B0000"/>
    <w:rsid w:val="004B2BD9"/>
    <w:rsid w:val="004B49E6"/>
    <w:rsid w:val="004C71A8"/>
    <w:rsid w:val="004E1CDD"/>
    <w:rsid w:val="00500714"/>
    <w:rsid w:val="0052465D"/>
    <w:rsid w:val="0052746C"/>
    <w:rsid w:val="00530FCA"/>
    <w:rsid w:val="005354EC"/>
    <w:rsid w:val="005368FA"/>
    <w:rsid w:val="00546344"/>
    <w:rsid w:val="00551F5E"/>
    <w:rsid w:val="00565398"/>
    <w:rsid w:val="005659CF"/>
    <w:rsid w:val="00574354"/>
    <w:rsid w:val="0058466E"/>
    <w:rsid w:val="00586286"/>
    <w:rsid w:val="00587033"/>
    <w:rsid w:val="00587117"/>
    <w:rsid w:val="00592093"/>
    <w:rsid w:val="005A0CE0"/>
    <w:rsid w:val="005A452B"/>
    <w:rsid w:val="005A6B0C"/>
    <w:rsid w:val="005B293F"/>
    <w:rsid w:val="005C4F07"/>
    <w:rsid w:val="005C54A8"/>
    <w:rsid w:val="005D63ED"/>
    <w:rsid w:val="005E58E3"/>
    <w:rsid w:val="005F17B3"/>
    <w:rsid w:val="005F27CB"/>
    <w:rsid w:val="005F5E85"/>
    <w:rsid w:val="00605508"/>
    <w:rsid w:val="00612864"/>
    <w:rsid w:val="00615DE3"/>
    <w:rsid w:val="00616CBB"/>
    <w:rsid w:val="006212CC"/>
    <w:rsid w:val="00621F07"/>
    <w:rsid w:val="0062614D"/>
    <w:rsid w:val="00627FBC"/>
    <w:rsid w:val="00630976"/>
    <w:rsid w:val="00632575"/>
    <w:rsid w:val="00636DB5"/>
    <w:rsid w:val="00642D60"/>
    <w:rsid w:val="00650946"/>
    <w:rsid w:val="0065588C"/>
    <w:rsid w:val="00656C7F"/>
    <w:rsid w:val="00657ADC"/>
    <w:rsid w:val="00664BAE"/>
    <w:rsid w:val="006751ED"/>
    <w:rsid w:val="00681DBA"/>
    <w:rsid w:val="00684C80"/>
    <w:rsid w:val="00697D75"/>
    <w:rsid w:val="006A5C0D"/>
    <w:rsid w:val="006A62C9"/>
    <w:rsid w:val="006B00E7"/>
    <w:rsid w:val="006B1A05"/>
    <w:rsid w:val="006B62C1"/>
    <w:rsid w:val="006C01C2"/>
    <w:rsid w:val="006D0599"/>
    <w:rsid w:val="006D4367"/>
    <w:rsid w:val="006E1A66"/>
    <w:rsid w:val="006E4CF2"/>
    <w:rsid w:val="006E7F4E"/>
    <w:rsid w:val="00703AEF"/>
    <w:rsid w:val="00710452"/>
    <w:rsid w:val="00717988"/>
    <w:rsid w:val="00720BAC"/>
    <w:rsid w:val="00733665"/>
    <w:rsid w:val="007417AE"/>
    <w:rsid w:val="007454BB"/>
    <w:rsid w:val="00751DAE"/>
    <w:rsid w:val="007579EE"/>
    <w:rsid w:val="00766376"/>
    <w:rsid w:val="00771C5A"/>
    <w:rsid w:val="00774CA8"/>
    <w:rsid w:val="00782254"/>
    <w:rsid w:val="00783353"/>
    <w:rsid w:val="00784DE5"/>
    <w:rsid w:val="00790D58"/>
    <w:rsid w:val="00796033"/>
    <w:rsid w:val="0079659C"/>
    <w:rsid w:val="007A325E"/>
    <w:rsid w:val="007A36AB"/>
    <w:rsid w:val="007A7477"/>
    <w:rsid w:val="007A7D77"/>
    <w:rsid w:val="007B1C85"/>
    <w:rsid w:val="007B3ADF"/>
    <w:rsid w:val="007B3DD9"/>
    <w:rsid w:val="007B6B57"/>
    <w:rsid w:val="007D258B"/>
    <w:rsid w:val="007E1C06"/>
    <w:rsid w:val="007E1CB4"/>
    <w:rsid w:val="007E3BCF"/>
    <w:rsid w:val="007F1E75"/>
    <w:rsid w:val="00800D35"/>
    <w:rsid w:val="008042DB"/>
    <w:rsid w:val="00810F2F"/>
    <w:rsid w:val="00817112"/>
    <w:rsid w:val="008174C9"/>
    <w:rsid w:val="008224D9"/>
    <w:rsid w:val="00830BB4"/>
    <w:rsid w:val="00831EE1"/>
    <w:rsid w:val="00833D1A"/>
    <w:rsid w:val="008347EB"/>
    <w:rsid w:val="00837214"/>
    <w:rsid w:val="00851DCD"/>
    <w:rsid w:val="00855EDB"/>
    <w:rsid w:val="00856F5F"/>
    <w:rsid w:val="008573A2"/>
    <w:rsid w:val="008640D1"/>
    <w:rsid w:val="0087011A"/>
    <w:rsid w:val="00870253"/>
    <w:rsid w:val="00874F92"/>
    <w:rsid w:val="0088132A"/>
    <w:rsid w:val="00886F80"/>
    <w:rsid w:val="008949D9"/>
    <w:rsid w:val="008A41E4"/>
    <w:rsid w:val="008C16C4"/>
    <w:rsid w:val="008D730C"/>
    <w:rsid w:val="008D7D7B"/>
    <w:rsid w:val="008E69EF"/>
    <w:rsid w:val="008E7436"/>
    <w:rsid w:val="008F009C"/>
    <w:rsid w:val="008F78E5"/>
    <w:rsid w:val="00900C3C"/>
    <w:rsid w:val="009120A6"/>
    <w:rsid w:val="00914F99"/>
    <w:rsid w:val="00916927"/>
    <w:rsid w:val="00931BAD"/>
    <w:rsid w:val="00932891"/>
    <w:rsid w:val="009375E8"/>
    <w:rsid w:val="00940519"/>
    <w:rsid w:val="009444A4"/>
    <w:rsid w:val="00946840"/>
    <w:rsid w:val="00947DEA"/>
    <w:rsid w:val="00955C23"/>
    <w:rsid w:val="0095748F"/>
    <w:rsid w:val="009639B0"/>
    <w:rsid w:val="00971882"/>
    <w:rsid w:val="009734AA"/>
    <w:rsid w:val="00982472"/>
    <w:rsid w:val="0098409D"/>
    <w:rsid w:val="00984F73"/>
    <w:rsid w:val="00986735"/>
    <w:rsid w:val="00993616"/>
    <w:rsid w:val="00994BF8"/>
    <w:rsid w:val="00995771"/>
    <w:rsid w:val="009A3AB6"/>
    <w:rsid w:val="009A552D"/>
    <w:rsid w:val="009B50B9"/>
    <w:rsid w:val="009B5EC5"/>
    <w:rsid w:val="009C62D2"/>
    <w:rsid w:val="009D522E"/>
    <w:rsid w:val="009D61B8"/>
    <w:rsid w:val="009E14F8"/>
    <w:rsid w:val="009F0C0D"/>
    <w:rsid w:val="009F2DFE"/>
    <w:rsid w:val="009F3E63"/>
    <w:rsid w:val="00A01359"/>
    <w:rsid w:val="00A03037"/>
    <w:rsid w:val="00A03C5E"/>
    <w:rsid w:val="00A04B70"/>
    <w:rsid w:val="00A113A4"/>
    <w:rsid w:val="00A1226A"/>
    <w:rsid w:val="00A1686E"/>
    <w:rsid w:val="00A20EDC"/>
    <w:rsid w:val="00A32C07"/>
    <w:rsid w:val="00A44B38"/>
    <w:rsid w:val="00A5350F"/>
    <w:rsid w:val="00A65848"/>
    <w:rsid w:val="00A71D5F"/>
    <w:rsid w:val="00A75739"/>
    <w:rsid w:val="00A82B31"/>
    <w:rsid w:val="00A94D2B"/>
    <w:rsid w:val="00A94DAA"/>
    <w:rsid w:val="00A96B41"/>
    <w:rsid w:val="00AC754C"/>
    <w:rsid w:val="00AD19BF"/>
    <w:rsid w:val="00AD5E89"/>
    <w:rsid w:val="00AE1FFC"/>
    <w:rsid w:val="00AE3C8E"/>
    <w:rsid w:val="00AE6B59"/>
    <w:rsid w:val="00AF1223"/>
    <w:rsid w:val="00AF16BC"/>
    <w:rsid w:val="00AF3E19"/>
    <w:rsid w:val="00AF5D8D"/>
    <w:rsid w:val="00AF5EBF"/>
    <w:rsid w:val="00B109CE"/>
    <w:rsid w:val="00B13B81"/>
    <w:rsid w:val="00B16B27"/>
    <w:rsid w:val="00B175E2"/>
    <w:rsid w:val="00B21739"/>
    <w:rsid w:val="00B220BF"/>
    <w:rsid w:val="00B420CF"/>
    <w:rsid w:val="00B46E8D"/>
    <w:rsid w:val="00B512EB"/>
    <w:rsid w:val="00B55717"/>
    <w:rsid w:val="00B60F9E"/>
    <w:rsid w:val="00B63FC6"/>
    <w:rsid w:val="00B66B92"/>
    <w:rsid w:val="00B70491"/>
    <w:rsid w:val="00B769A0"/>
    <w:rsid w:val="00B77D15"/>
    <w:rsid w:val="00B80163"/>
    <w:rsid w:val="00B81F59"/>
    <w:rsid w:val="00B820F6"/>
    <w:rsid w:val="00B970EF"/>
    <w:rsid w:val="00BB2A04"/>
    <w:rsid w:val="00BB2A0F"/>
    <w:rsid w:val="00BB4DB2"/>
    <w:rsid w:val="00BB75F4"/>
    <w:rsid w:val="00BC3E68"/>
    <w:rsid w:val="00BC5F5B"/>
    <w:rsid w:val="00BC6970"/>
    <w:rsid w:val="00BD2838"/>
    <w:rsid w:val="00BD5EE1"/>
    <w:rsid w:val="00BE3955"/>
    <w:rsid w:val="00BE4623"/>
    <w:rsid w:val="00BE668E"/>
    <w:rsid w:val="00BE72A2"/>
    <w:rsid w:val="00BE75F3"/>
    <w:rsid w:val="00C02E48"/>
    <w:rsid w:val="00C135BC"/>
    <w:rsid w:val="00C27555"/>
    <w:rsid w:val="00C54F7F"/>
    <w:rsid w:val="00C5522D"/>
    <w:rsid w:val="00C63BFF"/>
    <w:rsid w:val="00C6745E"/>
    <w:rsid w:val="00C76059"/>
    <w:rsid w:val="00C8251D"/>
    <w:rsid w:val="00C8450E"/>
    <w:rsid w:val="00C85EEE"/>
    <w:rsid w:val="00C90F5A"/>
    <w:rsid w:val="00C923A5"/>
    <w:rsid w:val="00C96671"/>
    <w:rsid w:val="00CA360C"/>
    <w:rsid w:val="00CC3680"/>
    <w:rsid w:val="00CC420A"/>
    <w:rsid w:val="00CC7BF8"/>
    <w:rsid w:val="00CD1D1B"/>
    <w:rsid w:val="00CE38DC"/>
    <w:rsid w:val="00CE7545"/>
    <w:rsid w:val="00CF1599"/>
    <w:rsid w:val="00CF70D1"/>
    <w:rsid w:val="00CF7FED"/>
    <w:rsid w:val="00D01D47"/>
    <w:rsid w:val="00D15CD1"/>
    <w:rsid w:val="00D17FD3"/>
    <w:rsid w:val="00D21073"/>
    <w:rsid w:val="00D3398B"/>
    <w:rsid w:val="00D37922"/>
    <w:rsid w:val="00D4031F"/>
    <w:rsid w:val="00D44ED1"/>
    <w:rsid w:val="00D479C4"/>
    <w:rsid w:val="00D6348E"/>
    <w:rsid w:val="00D669E6"/>
    <w:rsid w:val="00D67A6D"/>
    <w:rsid w:val="00D67B8C"/>
    <w:rsid w:val="00D67E79"/>
    <w:rsid w:val="00D83308"/>
    <w:rsid w:val="00D86BED"/>
    <w:rsid w:val="00D9193C"/>
    <w:rsid w:val="00D941B4"/>
    <w:rsid w:val="00D950E3"/>
    <w:rsid w:val="00D96654"/>
    <w:rsid w:val="00D96B08"/>
    <w:rsid w:val="00DA7C5A"/>
    <w:rsid w:val="00DB059C"/>
    <w:rsid w:val="00DB7421"/>
    <w:rsid w:val="00DC3C11"/>
    <w:rsid w:val="00DD32AA"/>
    <w:rsid w:val="00DD665C"/>
    <w:rsid w:val="00DE116D"/>
    <w:rsid w:val="00DF05DD"/>
    <w:rsid w:val="00DF58C3"/>
    <w:rsid w:val="00E04646"/>
    <w:rsid w:val="00E04857"/>
    <w:rsid w:val="00E14F70"/>
    <w:rsid w:val="00E16AAC"/>
    <w:rsid w:val="00E17A4F"/>
    <w:rsid w:val="00E21C67"/>
    <w:rsid w:val="00E26135"/>
    <w:rsid w:val="00E330E8"/>
    <w:rsid w:val="00E36C33"/>
    <w:rsid w:val="00E3700F"/>
    <w:rsid w:val="00E40125"/>
    <w:rsid w:val="00E40933"/>
    <w:rsid w:val="00E40C19"/>
    <w:rsid w:val="00E46616"/>
    <w:rsid w:val="00E5188D"/>
    <w:rsid w:val="00E61918"/>
    <w:rsid w:val="00E61BD1"/>
    <w:rsid w:val="00E660B1"/>
    <w:rsid w:val="00E73C76"/>
    <w:rsid w:val="00E73FCF"/>
    <w:rsid w:val="00E76722"/>
    <w:rsid w:val="00E82F93"/>
    <w:rsid w:val="00E8628A"/>
    <w:rsid w:val="00E870B5"/>
    <w:rsid w:val="00E87859"/>
    <w:rsid w:val="00E90F18"/>
    <w:rsid w:val="00E96DC7"/>
    <w:rsid w:val="00E96EFF"/>
    <w:rsid w:val="00EA4088"/>
    <w:rsid w:val="00EB3E60"/>
    <w:rsid w:val="00EB4901"/>
    <w:rsid w:val="00EC16FA"/>
    <w:rsid w:val="00EC3DBB"/>
    <w:rsid w:val="00ED1CF0"/>
    <w:rsid w:val="00ED5DA1"/>
    <w:rsid w:val="00ED7509"/>
    <w:rsid w:val="00EE16BD"/>
    <w:rsid w:val="00EE7656"/>
    <w:rsid w:val="00EF14A9"/>
    <w:rsid w:val="00EF26BE"/>
    <w:rsid w:val="00EF2C73"/>
    <w:rsid w:val="00EF3DAB"/>
    <w:rsid w:val="00EF3E65"/>
    <w:rsid w:val="00EF707C"/>
    <w:rsid w:val="00F10630"/>
    <w:rsid w:val="00F17C23"/>
    <w:rsid w:val="00F17CD7"/>
    <w:rsid w:val="00F3156E"/>
    <w:rsid w:val="00F35805"/>
    <w:rsid w:val="00F4086D"/>
    <w:rsid w:val="00F60362"/>
    <w:rsid w:val="00F62567"/>
    <w:rsid w:val="00F62AE4"/>
    <w:rsid w:val="00F652F8"/>
    <w:rsid w:val="00F7064C"/>
    <w:rsid w:val="00F70F3A"/>
    <w:rsid w:val="00F7642E"/>
    <w:rsid w:val="00F93DA0"/>
    <w:rsid w:val="00F9718E"/>
    <w:rsid w:val="00FA5CDE"/>
    <w:rsid w:val="00FA79A4"/>
    <w:rsid w:val="00FB1CCA"/>
    <w:rsid w:val="00FC179C"/>
    <w:rsid w:val="00FC2248"/>
    <w:rsid w:val="00FC7B06"/>
    <w:rsid w:val="00FD013F"/>
    <w:rsid w:val="00FD0D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7F8E"/>
  <w15:docId w15:val="{DD2FEBF3-54D4-40F9-B392-B6990C55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F70D1"/>
    <w:pPr>
      <w:spacing w:after="200" w:line="276" w:lineRule="auto"/>
    </w:pPr>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17A4F"/>
    <w:pPr>
      <w:spacing w:after="0" w:line="240" w:lineRule="auto"/>
      <w:ind w:left="720"/>
    </w:pPr>
    <w:rPr>
      <w:rFonts w:ascii="Calibri" w:hAnsi="Calibri" w:cs="Calibri"/>
      <w:sz w:val="22"/>
      <w:lang w:eastAsia="da-DK"/>
    </w:rPr>
  </w:style>
  <w:style w:type="table" w:styleId="Tabel-Gitter">
    <w:name w:val="Table Grid"/>
    <w:basedOn w:val="Tabel-Normal"/>
    <w:uiPriority w:val="59"/>
    <w:rsid w:val="00284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0D03E7"/>
    <w:rPr>
      <w:sz w:val="16"/>
      <w:szCs w:val="16"/>
    </w:rPr>
  </w:style>
  <w:style w:type="paragraph" w:styleId="Kommentartekst">
    <w:name w:val="annotation text"/>
    <w:basedOn w:val="Normal"/>
    <w:link w:val="KommentartekstTegn"/>
    <w:uiPriority w:val="99"/>
    <w:semiHidden/>
    <w:unhideWhenUsed/>
    <w:rsid w:val="000D03E7"/>
    <w:pPr>
      <w:spacing w:line="240" w:lineRule="auto"/>
    </w:pPr>
    <w:rPr>
      <w:szCs w:val="20"/>
    </w:rPr>
  </w:style>
  <w:style w:type="character" w:customStyle="1" w:styleId="KommentartekstTegn">
    <w:name w:val="Kommentartekst Tegn"/>
    <w:basedOn w:val="Standardskrifttypeiafsnit"/>
    <w:link w:val="Kommentartekst"/>
    <w:uiPriority w:val="99"/>
    <w:semiHidden/>
    <w:rsid w:val="000D03E7"/>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0D03E7"/>
    <w:rPr>
      <w:b/>
      <w:bCs/>
    </w:rPr>
  </w:style>
  <w:style w:type="character" w:customStyle="1" w:styleId="KommentaremneTegn">
    <w:name w:val="Kommentaremne Tegn"/>
    <w:basedOn w:val="KommentartekstTegn"/>
    <w:link w:val="Kommentaremne"/>
    <w:uiPriority w:val="99"/>
    <w:semiHidden/>
    <w:rsid w:val="000D03E7"/>
    <w:rPr>
      <w:rFonts w:ascii="Arial" w:hAnsi="Arial"/>
      <w:b/>
      <w:bCs/>
      <w:sz w:val="20"/>
      <w:szCs w:val="20"/>
    </w:rPr>
  </w:style>
  <w:style w:type="paragraph" w:styleId="Markeringsbobletekst">
    <w:name w:val="Balloon Text"/>
    <w:basedOn w:val="Normal"/>
    <w:link w:val="MarkeringsbobletekstTegn"/>
    <w:uiPriority w:val="99"/>
    <w:semiHidden/>
    <w:unhideWhenUsed/>
    <w:rsid w:val="000D03E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D03E7"/>
    <w:rPr>
      <w:rFonts w:ascii="Segoe UI" w:hAnsi="Segoe UI" w:cs="Segoe UI"/>
      <w:sz w:val="18"/>
      <w:szCs w:val="18"/>
    </w:rPr>
  </w:style>
  <w:style w:type="paragraph" w:styleId="Sidehoved">
    <w:name w:val="header"/>
    <w:basedOn w:val="Normal"/>
    <w:link w:val="SidehovedTegn"/>
    <w:uiPriority w:val="99"/>
    <w:unhideWhenUsed/>
    <w:rsid w:val="0042522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25223"/>
    <w:rPr>
      <w:rFonts w:ascii="Arial" w:hAnsi="Arial"/>
      <w:sz w:val="20"/>
    </w:rPr>
  </w:style>
  <w:style w:type="paragraph" w:styleId="Sidefod">
    <w:name w:val="footer"/>
    <w:basedOn w:val="Normal"/>
    <w:link w:val="SidefodTegn"/>
    <w:uiPriority w:val="99"/>
    <w:unhideWhenUsed/>
    <w:rsid w:val="0042522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25223"/>
    <w:rPr>
      <w:rFonts w:ascii="Arial" w:hAnsi="Arial"/>
      <w:sz w:val="20"/>
    </w:rPr>
  </w:style>
  <w:style w:type="character" w:styleId="Hyperlink">
    <w:name w:val="Hyperlink"/>
    <w:basedOn w:val="Standardskrifttypeiafsnit"/>
    <w:uiPriority w:val="99"/>
    <w:unhideWhenUsed/>
    <w:rsid w:val="00154C44"/>
    <w:rPr>
      <w:color w:val="0563C1" w:themeColor="hyperlink"/>
      <w:u w:val="single"/>
    </w:rPr>
  </w:style>
  <w:style w:type="character" w:styleId="Nvn">
    <w:name w:val="Mention"/>
    <w:basedOn w:val="Standardskrifttypeiafsnit"/>
    <w:uiPriority w:val="99"/>
    <w:semiHidden/>
    <w:unhideWhenUsed/>
    <w:rsid w:val="00154C4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2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omstol.no/no/Sivil-sak/Sakstyper/Smakravsproses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6C95969B98407F822AF93796952434"/>
        <w:category>
          <w:name w:val="Generelt"/>
          <w:gallery w:val="placeholder"/>
        </w:category>
        <w:types>
          <w:type w:val="bbPlcHdr"/>
        </w:types>
        <w:behaviors>
          <w:behavior w:val="content"/>
        </w:behaviors>
        <w:guid w:val="{B3299846-3BB7-415F-B327-F8B0C5A371D2}"/>
      </w:docPartPr>
      <w:docPartBody>
        <w:p w:rsidR="00840B7F" w:rsidRDefault="00807E5F" w:rsidP="00807E5F">
          <w:pPr>
            <w:pStyle w:val="A16C95969B98407F822AF93796952434"/>
          </w:pPr>
          <w:r w:rsidRPr="00DC2E08">
            <w:rPr>
              <w:rStyle w:val="Pladsholdertekst"/>
            </w:rPr>
            <w:t>Klik her for at angive tekst.</w:t>
          </w:r>
        </w:p>
      </w:docPartBody>
    </w:docPart>
    <w:docPart>
      <w:docPartPr>
        <w:name w:val="F4246E3DC5344F68BB9161DCA9ED0644"/>
        <w:category>
          <w:name w:val="Generelt"/>
          <w:gallery w:val="placeholder"/>
        </w:category>
        <w:types>
          <w:type w:val="bbPlcHdr"/>
        </w:types>
        <w:behaviors>
          <w:behavior w:val="content"/>
        </w:behaviors>
        <w:guid w:val="{AB6DF438-FC01-4A21-8322-79967BF889DF}"/>
      </w:docPartPr>
      <w:docPartBody>
        <w:p w:rsidR="00840B7F" w:rsidRDefault="00807E5F" w:rsidP="00807E5F">
          <w:pPr>
            <w:pStyle w:val="F4246E3DC5344F68BB9161DCA9ED0644"/>
          </w:pPr>
          <w:r w:rsidRPr="00DC2E08">
            <w:rPr>
              <w:rStyle w:val="Pladsholdertekst"/>
            </w:rPr>
            <w:t>Klik her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2"/>
  </w:compat>
  <w:rsids>
    <w:rsidRoot w:val="00807E5F"/>
    <w:rsid w:val="00075F69"/>
    <w:rsid w:val="005B67E3"/>
    <w:rsid w:val="00807E5F"/>
    <w:rsid w:val="00840B7F"/>
    <w:rsid w:val="00B6732F"/>
    <w:rsid w:val="00D3325A"/>
    <w:rsid w:val="00D847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8476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807E5F"/>
    <w:rPr>
      <w:color w:val="808080"/>
    </w:rPr>
  </w:style>
  <w:style w:type="paragraph" w:customStyle="1" w:styleId="A16C95969B98407F822AF93796952434">
    <w:name w:val="A16C95969B98407F822AF93796952434"/>
    <w:rsid w:val="00807E5F"/>
  </w:style>
  <w:style w:type="paragraph" w:customStyle="1" w:styleId="02C0D89555594ACFA98454DA50721B77">
    <w:name w:val="02C0D89555594ACFA98454DA50721B77"/>
    <w:rsid w:val="00807E5F"/>
  </w:style>
  <w:style w:type="paragraph" w:customStyle="1" w:styleId="F4246E3DC5344F68BB9161DCA9ED0644">
    <w:name w:val="F4246E3DC5344F68BB9161DCA9ED0644"/>
    <w:rsid w:val="00807E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587C9-670B-4B7B-B032-C702D6C1E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1712</Words>
  <Characters>10446</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Domstolsstyrelsen</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 Sølver Rehling</dc:creator>
  <cp:lastModifiedBy>Emil Sølver Rehling</cp:lastModifiedBy>
  <cp:revision>8</cp:revision>
  <dcterms:created xsi:type="dcterms:W3CDTF">2018-02-07T11:08:00Z</dcterms:created>
  <dcterms:modified xsi:type="dcterms:W3CDTF">2018-02-15T08:57:00Z</dcterms:modified>
</cp:coreProperties>
</file>